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0A8" w:rsidRPr="009C60A8" w:rsidRDefault="009C60A8" w:rsidP="009C60A8">
      <w:pPr>
        <w:sectPr w:rsidR="009C60A8" w:rsidRPr="009C60A8" w:rsidSect="00C6710C">
          <w:footerReference w:type="default" r:id="rId4"/>
          <w:pgSz w:w="11906" w:h="16838"/>
          <w:pgMar w:top="1418" w:right="1418" w:bottom="1418" w:left="1418" w:header="709" w:footer="709" w:gutter="0"/>
          <w:cols w:space="708"/>
          <w:vAlign w:val="center"/>
          <w:docGrid w:linePitch="360"/>
        </w:sectPr>
      </w:pPr>
      <w:r w:rsidRPr="009C60A8">
        <w:t>PIECE 3 : REGLEMENT PARTICULIER DE L’APPEL D’OFFRES (RPAO)</w:t>
      </w:r>
    </w:p>
    <w:p w:rsidR="009C60A8" w:rsidRPr="009C60A8" w:rsidRDefault="009C60A8" w:rsidP="009C60A8">
      <w:r w:rsidRPr="009C60A8">
        <w:lastRenderedPageBreak/>
        <w:t>Règlement Particulier de l’Appel d’Offres</w:t>
      </w:r>
    </w:p>
    <w:p w:rsidR="009C60A8" w:rsidRPr="009C60A8" w:rsidRDefault="009C60A8" w:rsidP="009C60A8">
      <w:r w:rsidRPr="009C60A8">
        <w:t xml:space="preserve">Les dispositions ci-après, qui sont spécifiques aux Travaux faisant l’objet de l’Appel d’Offres, complètent ou, le cas échéant, précisent les dispositions du RGAO. En cas de conflit, les dispositions ci-après prévalent sur celles du RGAO. Les numéros de la première colonne se réfèrent à l’article correspondant du RGAO.   </w:t>
      </w:r>
    </w:p>
    <w:p w:rsidR="009C60A8" w:rsidRPr="009C60A8" w:rsidRDefault="009C60A8" w:rsidP="009C60A8">
      <w:r w:rsidRPr="009C60A8">
        <w:t xml:space="preserve">                                               </w:t>
      </w:r>
    </w:p>
    <w:tbl>
      <w:tblPr>
        <w:tblW w:w="10672" w:type="dxa"/>
        <w:tblInd w:w="-279" w:type="dxa"/>
        <w:tblLayout w:type="fixed"/>
        <w:tblCellMar>
          <w:left w:w="10" w:type="dxa"/>
          <w:right w:w="10" w:type="dxa"/>
        </w:tblCellMar>
        <w:tblLook w:val="0000" w:firstRow="0" w:lastRow="0" w:firstColumn="0" w:lastColumn="0" w:noHBand="0" w:noVBand="0"/>
      </w:tblPr>
      <w:tblGrid>
        <w:gridCol w:w="993"/>
        <w:gridCol w:w="9639"/>
        <w:gridCol w:w="40"/>
      </w:tblGrid>
      <w:tr w:rsidR="009C60A8" w:rsidRPr="009C60A8" w:rsidTr="000B73F4">
        <w:trPr>
          <w:gridAfter w:val="1"/>
          <w:wAfter w:w="40" w:type="dxa"/>
          <w:trHeight w:hRule="exact" w:val="838"/>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r w:rsidRPr="009C60A8">
              <w:t>Références du RGAO</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r w:rsidRPr="009C60A8">
              <w:t xml:space="preserve"> Généralités</w:t>
            </w:r>
          </w:p>
        </w:tc>
      </w:tr>
      <w:tr w:rsidR="009C60A8" w:rsidRPr="009C60A8" w:rsidTr="000B73F4">
        <w:trPr>
          <w:gridAfter w:val="1"/>
          <w:wAfter w:w="40" w:type="dxa"/>
          <w:trHeight w:hRule="exact" w:val="998"/>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1.1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r w:rsidRPr="009C60A8">
              <w:t>Définition des Travaux :</w:t>
            </w:r>
          </w:p>
          <w:p w:rsidR="009C60A8" w:rsidRPr="009C60A8" w:rsidRDefault="009C60A8" w:rsidP="009C60A8">
            <w:r w:rsidRPr="009C60A8">
              <w:t>L’Appel d’Offres porte sur l’exécution des travaux _____________________</w:t>
            </w:r>
          </w:p>
        </w:tc>
      </w:tr>
      <w:tr w:rsidR="009C60A8" w:rsidRPr="009C60A8" w:rsidTr="000B73F4">
        <w:trPr>
          <w:gridAfter w:val="1"/>
          <w:wAfter w:w="40" w:type="dxa"/>
          <w:trHeight w:hRule="exact" w:val="567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r w:rsidRPr="009C60A8">
              <w:t>Les  travaux sont repartis ainsi qu’il suit :</w:t>
            </w:r>
          </w:p>
          <w:p w:rsidR="009C60A8" w:rsidRPr="009C60A8" w:rsidRDefault="009C60A8" w:rsidP="009C60A8">
            <w:r w:rsidRPr="009C60A8">
              <w:t xml:space="preserve">  </w:t>
            </w: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6"/>
              <w:gridCol w:w="914"/>
              <w:gridCol w:w="1325"/>
              <w:gridCol w:w="1450"/>
              <w:gridCol w:w="1452"/>
              <w:gridCol w:w="1450"/>
              <w:gridCol w:w="831"/>
              <w:gridCol w:w="1274"/>
            </w:tblGrid>
            <w:tr w:rsidR="009C60A8" w:rsidRPr="009C60A8" w:rsidTr="000B73F4">
              <w:trPr>
                <w:trHeight w:val="900"/>
              </w:trPr>
              <w:tc>
                <w:tcPr>
                  <w:tcW w:w="419" w:type="pct"/>
                  <w:shd w:val="clear" w:color="auto" w:fill="auto"/>
                  <w:vAlign w:val="center"/>
                </w:tcPr>
                <w:p w:rsidR="009C60A8" w:rsidRPr="009C60A8" w:rsidRDefault="009C60A8" w:rsidP="009C60A8">
                  <w:r w:rsidRPr="009C60A8">
                    <w:t xml:space="preserve">  N° lots</w:t>
                  </w:r>
                </w:p>
              </w:tc>
              <w:tc>
                <w:tcPr>
                  <w:tcW w:w="481" w:type="pct"/>
                  <w:shd w:val="clear" w:color="auto" w:fill="auto"/>
                  <w:vAlign w:val="center"/>
                </w:tcPr>
                <w:p w:rsidR="009C60A8" w:rsidRPr="009C60A8" w:rsidRDefault="009C60A8" w:rsidP="009C60A8"/>
                <w:p w:rsidR="009C60A8" w:rsidRPr="009C60A8" w:rsidRDefault="009C60A8" w:rsidP="009C60A8">
                  <w:r w:rsidRPr="009C60A8">
                    <w:t>Régions</w:t>
                  </w:r>
                </w:p>
                <w:p w:rsidR="009C60A8" w:rsidRPr="009C60A8" w:rsidRDefault="009C60A8" w:rsidP="009C60A8"/>
              </w:tc>
              <w:tc>
                <w:tcPr>
                  <w:tcW w:w="698" w:type="pct"/>
                  <w:shd w:val="clear" w:color="auto" w:fill="auto"/>
                  <w:vAlign w:val="center"/>
                </w:tcPr>
                <w:p w:rsidR="009C60A8" w:rsidRPr="009C60A8" w:rsidRDefault="009C60A8" w:rsidP="009C60A8">
                  <w:r w:rsidRPr="009C60A8">
                    <w:t xml:space="preserve">Départements </w:t>
                  </w:r>
                </w:p>
              </w:tc>
              <w:tc>
                <w:tcPr>
                  <w:tcW w:w="764" w:type="pct"/>
                  <w:shd w:val="clear" w:color="auto" w:fill="auto"/>
                  <w:vAlign w:val="center"/>
                </w:tcPr>
                <w:p w:rsidR="009C60A8" w:rsidRPr="009C60A8" w:rsidRDefault="009C60A8" w:rsidP="009C60A8">
                  <w:r w:rsidRPr="009C60A8">
                    <w:t>Tronçons</w:t>
                  </w:r>
                </w:p>
              </w:tc>
              <w:tc>
                <w:tcPr>
                  <w:tcW w:w="765" w:type="pct"/>
                  <w:shd w:val="clear" w:color="auto" w:fill="auto"/>
                  <w:vAlign w:val="center"/>
                </w:tcPr>
                <w:p w:rsidR="009C60A8" w:rsidRPr="009C60A8" w:rsidRDefault="009C60A8" w:rsidP="009C60A8">
                  <w:r w:rsidRPr="009C60A8">
                    <w:t>Bacs concernes</w:t>
                  </w:r>
                </w:p>
              </w:tc>
              <w:tc>
                <w:tcPr>
                  <w:tcW w:w="764" w:type="pct"/>
                  <w:shd w:val="clear" w:color="auto" w:fill="auto"/>
                  <w:vAlign w:val="center"/>
                </w:tcPr>
                <w:p w:rsidR="009C60A8" w:rsidRPr="009C60A8" w:rsidRDefault="009C60A8" w:rsidP="009C60A8">
                  <w:r w:rsidRPr="009C60A8">
                    <w:t xml:space="preserve">Montant TTC </w:t>
                  </w:r>
                </w:p>
              </w:tc>
              <w:tc>
                <w:tcPr>
                  <w:tcW w:w="438" w:type="pct"/>
                </w:tcPr>
                <w:p w:rsidR="009C60A8" w:rsidRPr="009C60A8" w:rsidRDefault="009C60A8" w:rsidP="009C60A8"/>
                <w:p w:rsidR="009C60A8" w:rsidRPr="009C60A8" w:rsidRDefault="009C60A8" w:rsidP="009C60A8"/>
                <w:p w:rsidR="009C60A8" w:rsidRPr="009C60A8" w:rsidRDefault="009C60A8" w:rsidP="009C60A8">
                  <w:r w:rsidRPr="009C60A8">
                    <w:t xml:space="preserve">Délai </w:t>
                  </w:r>
                </w:p>
                <w:p w:rsidR="009C60A8" w:rsidRPr="009C60A8" w:rsidRDefault="009C60A8" w:rsidP="009C60A8">
                  <w:r w:rsidRPr="009C60A8">
                    <w:t>(mois)</w:t>
                  </w:r>
                </w:p>
              </w:tc>
              <w:tc>
                <w:tcPr>
                  <w:tcW w:w="671" w:type="pct"/>
                  <w:shd w:val="clear" w:color="auto" w:fill="auto"/>
                  <w:vAlign w:val="center"/>
                </w:tcPr>
                <w:p w:rsidR="009C60A8" w:rsidRPr="009C60A8" w:rsidRDefault="009C60A8" w:rsidP="009C60A8">
                  <w:r w:rsidRPr="009C60A8">
                    <w:t>Type</w:t>
                  </w:r>
                </w:p>
                <w:p w:rsidR="009C60A8" w:rsidRPr="009C60A8" w:rsidRDefault="009C60A8" w:rsidP="009C60A8">
                  <w:r w:rsidRPr="009C60A8">
                    <w:t xml:space="preserve"> d’intervention</w:t>
                  </w:r>
                </w:p>
              </w:tc>
            </w:tr>
            <w:tr w:rsidR="009C60A8" w:rsidRPr="009C60A8" w:rsidTr="000B73F4">
              <w:trPr>
                <w:trHeight w:val="605"/>
              </w:trPr>
              <w:tc>
                <w:tcPr>
                  <w:tcW w:w="419" w:type="pct"/>
                  <w:shd w:val="clear" w:color="auto" w:fill="auto"/>
                  <w:vAlign w:val="center"/>
                </w:tcPr>
                <w:p w:rsidR="009C60A8" w:rsidRPr="009C60A8" w:rsidRDefault="009C60A8" w:rsidP="009C60A8"/>
                <w:p w:rsidR="009C60A8" w:rsidRPr="009C60A8" w:rsidRDefault="009C60A8" w:rsidP="009C60A8"/>
                <w:p w:rsidR="009C60A8" w:rsidRPr="009C60A8" w:rsidRDefault="009C60A8" w:rsidP="009C60A8">
                  <w:r w:rsidRPr="009C60A8">
                    <w:t>lot 1</w:t>
                  </w:r>
                </w:p>
                <w:p w:rsidR="009C60A8" w:rsidRPr="009C60A8" w:rsidRDefault="009C60A8" w:rsidP="009C60A8"/>
              </w:tc>
              <w:tc>
                <w:tcPr>
                  <w:tcW w:w="481" w:type="pct"/>
                  <w:shd w:val="clear" w:color="auto" w:fill="auto"/>
                  <w:vAlign w:val="center"/>
                </w:tcPr>
                <w:p w:rsidR="009C60A8" w:rsidRPr="009C60A8" w:rsidRDefault="009C60A8" w:rsidP="009C60A8"/>
              </w:tc>
              <w:tc>
                <w:tcPr>
                  <w:tcW w:w="698" w:type="pct"/>
                  <w:shd w:val="clear" w:color="auto" w:fill="auto"/>
                  <w:vAlign w:val="center"/>
                </w:tcPr>
                <w:p w:rsidR="009C60A8" w:rsidRPr="009C60A8" w:rsidRDefault="009C60A8" w:rsidP="009C60A8"/>
              </w:tc>
              <w:tc>
                <w:tcPr>
                  <w:tcW w:w="764" w:type="pct"/>
                  <w:shd w:val="clear" w:color="auto" w:fill="auto"/>
                  <w:vAlign w:val="center"/>
                </w:tcPr>
                <w:p w:rsidR="009C60A8" w:rsidRPr="009C60A8" w:rsidRDefault="009C60A8" w:rsidP="009C60A8"/>
              </w:tc>
              <w:tc>
                <w:tcPr>
                  <w:tcW w:w="765" w:type="pct"/>
                  <w:shd w:val="clear" w:color="auto" w:fill="auto"/>
                  <w:vAlign w:val="center"/>
                </w:tcPr>
                <w:p w:rsidR="009C60A8" w:rsidRPr="009C60A8" w:rsidRDefault="009C60A8" w:rsidP="009C60A8"/>
              </w:tc>
              <w:tc>
                <w:tcPr>
                  <w:tcW w:w="764" w:type="pct"/>
                  <w:shd w:val="clear" w:color="auto" w:fill="auto"/>
                  <w:vAlign w:val="center"/>
                </w:tcPr>
                <w:p w:rsidR="009C60A8" w:rsidRPr="009C60A8" w:rsidRDefault="009C60A8" w:rsidP="009C60A8"/>
              </w:tc>
              <w:tc>
                <w:tcPr>
                  <w:tcW w:w="438" w:type="pct"/>
                  <w:vAlign w:val="center"/>
                </w:tcPr>
                <w:p w:rsidR="009C60A8" w:rsidRPr="009C60A8" w:rsidRDefault="009C60A8" w:rsidP="009C60A8"/>
              </w:tc>
              <w:tc>
                <w:tcPr>
                  <w:tcW w:w="671" w:type="pct"/>
                  <w:shd w:val="clear" w:color="auto" w:fill="auto"/>
                  <w:vAlign w:val="center"/>
                </w:tcPr>
                <w:p w:rsidR="009C60A8" w:rsidRPr="009C60A8" w:rsidRDefault="009C60A8" w:rsidP="009C60A8"/>
              </w:tc>
            </w:tr>
          </w:tbl>
          <w:p w:rsidR="009C60A8" w:rsidRPr="009C60A8" w:rsidRDefault="009C60A8" w:rsidP="009C60A8"/>
        </w:tc>
      </w:tr>
      <w:tr w:rsidR="009C60A8" w:rsidRPr="009C60A8" w:rsidTr="000B73F4">
        <w:trPr>
          <w:gridAfter w:val="1"/>
          <w:wAfter w:w="40" w:type="dxa"/>
          <w:trHeight w:hRule="exact" w:val="1475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r w:rsidRPr="009C60A8">
              <w:t xml:space="preserve"> Les prestations à réaliser dans le cadre des contrats portent sur les tâches suivantes :</w:t>
            </w:r>
          </w:p>
          <w:p w:rsidR="009C60A8" w:rsidRPr="009C60A8" w:rsidRDefault="009C60A8" w:rsidP="009C60A8"/>
          <w:p w:rsidR="009C60A8" w:rsidRPr="009C60A8" w:rsidRDefault="009C60A8" w:rsidP="009C60A8"/>
          <w:p w:rsidR="009C60A8" w:rsidRPr="009C60A8" w:rsidRDefault="009C60A8" w:rsidP="009C60A8">
            <w:r w:rsidRPr="009C60A8">
              <w:t>cas 1 : Réhabilitation simple, Entretien et Exploitation</w:t>
            </w:r>
          </w:p>
          <w:p w:rsidR="009C60A8" w:rsidRPr="009C60A8" w:rsidRDefault="009C60A8" w:rsidP="009C60A8">
            <w:r w:rsidRPr="009C60A8">
              <w:t>Mesures environnementales et sociales ;</w:t>
            </w:r>
          </w:p>
          <w:p w:rsidR="009C60A8" w:rsidRPr="009C60A8" w:rsidRDefault="009C60A8" w:rsidP="009C60A8">
            <w:r w:rsidRPr="009C60A8">
              <w:t>nettoyage et aménagement d'une plateforme de travail ;</w:t>
            </w:r>
          </w:p>
          <w:p w:rsidR="009C60A8" w:rsidRPr="009C60A8" w:rsidRDefault="009C60A8" w:rsidP="009C60A8">
            <w:r w:rsidRPr="009C60A8">
              <w:t>Productions et transmission des documents ;</w:t>
            </w:r>
          </w:p>
          <w:p w:rsidR="009C60A8" w:rsidRPr="009C60A8" w:rsidRDefault="009C60A8" w:rsidP="009C60A8">
            <w:r w:rsidRPr="009C60A8">
              <w:t>Fourniture et pose de panneaux d'indication de chantier ;</w:t>
            </w:r>
          </w:p>
          <w:p w:rsidR="009C60A8" w:rsidRPr="009C60A8" w:rsidRDefault="009C60A8" w:rsidP="009C60A8">
            <w:r w:rsidRPr="009C60A8">
              <w:t>Fourniture et pose des panneaux d'annonce du bac de type A20 situés à 200 m ;</w:t>
            </w:r>
          </w:p>
          <w:p w:rsidR="009C60A8" w:rsidRPr="009C60A8" w:rsidRDefault="009C60A8" w:rsidP="009C60A8">
            <w:r w:rsidRPr="009C60A8">
              <w:t>Maintenance préventive et curative pendant la période de garantie ;</w:t>
            </w:r>
          </w:p>
          <w:p w:rsidR="009C60A8" w:rsidRPr="009C60A8" w:rsidRDefault="009C60A8" w:rsidP="009C60A8">
            <w:r w:rsidRPr="009C60A8">
              <w:t>Démontage des pylônes existants ;</w:t>
            </w:r>
          </w:p>
          <w:p w:rsidR="009C60A8" w:rsidRPr="009C60A8" w:rsidRDefault="009C60A8" w:rsidP="009C60A8">
            <w:r w:rsidRPr="009C60A8">
              <w:t>Fouilles pour fondations des pylônes et massifs de câble de sécurité ;</w:t>
            </w:r>
          </w:p>
          <w:p w:rsidR="009C60A8" w:rsidRPr="009C60A8" w:rsidRDefault="009C60A8" w:rsidP="009C60A8">
            <w:r w:rsidRPr="009C60A8">
              <w:t>Fabrication des Barges (Fourniture, coupe, façonnage montage, assemblage, des profilés en tôles et cornières) L=12m; l=3m; 1,5≤h≤1,8 ;</w:t>
            </w:r>
          </w:p>
          <w:p w:rsidR="009C60A8" w:rsidRPr="009C60A8" w:rsidRDefault="009C60A8" w:rsidP="009C60A8">
            <w:r w:rsidRPr="009C60A8">
              <w:t xml:space="preserve">Nettoyage, ponçage, et application des couches de peintures anticorrosives ; </w:t>
            </w:r>
          </w:p>
          <w:p w:rsidR="009C60A8" w:rsidRPr="009C60A8" w:rsidRDefault="009C60A8" w:rsidP="009C60A8">
            <w:r w:rsidRPr="009C60A8">
              <w:t>Application d'une couche de peintures ordinaire ;</w:t>
            </w:r>
          </w:p>
          <w:p w:rsidR="009C60A8" w:rsidRPr="009C60A8" w:rsidRDefault="009C60A8" w:rsidP="009C60A8">
            <w:r w:rsidRPr="009C60A8">
              <w:t>Assemblage des barges par des profilés en IPE 240 mm y compris traitement anticorrosion des profilés ;</w:t>
            </w:r>
          </w:p>
          <w:p w:rsidR="009C60A8" w:rsidRPr="009C60A8" w:rsidRDefault="009C60A8" w:rsidP="009C60A8">
            <w:r w:rsidRPr="009C60A8">
              <w:t>Réfection complète des barges  et leur assemblage sous châssis ;</w:t>
            </w:r>
          </w:p>
          <w:p w:rsidR="009C60A8" w:rsidRPr="009C60A8" w:rsidRDefault="009C60A8" w:rsidP="009C60A8">
            <w:r w:rsidRPr="009C60A8">
              <w:t>Contrôle à étanchéité de toutes les barges ;</w:t>
            </w:r>
          </w:p>
          <w:p w:rsidR="009C60A8" w:rsidRPr="009C60A8" w:rsidRDefault="009C60A8" w:rsidP="009C60A8">
            <w:r w:rsidRPr="009C60A8">
              <w:t>Mise hors et remise à l'eau du bac ;</w:t>
            </w:r>
          </w:p>
          <w:p w:rsidR="009C60A8" w:rsidRPr="009C60A8" w:rsidRDefault="009C60A8" w:rsidP="009C60A8">
            <w:r w:rsidRPr="009C60A8">
              <w:t>Construction des garde-corps métalliques ;</w:t>
            </w:r>
          </w:p>
          <w:p w:rsidR="009C60A8" w:rsidRPr="009C60A8" w:rsidRDefault="009C60A8" w:rsidP="009C60A8">
            <w:r w:rsidRPr="009C60A8">
              <w:t>Fournitures et fixation des treuils de traille de 5 tonnes ;</w:t>
            </w:r>
          </w:p>
          <w:p w:rsidR="009C60A8" w:rsidRPr="009C60A8" w:rsidRDefault="009C60A8" w:rsidP="009C60A8">
            <w:r w:rsidRPr="009C60A8">
              <w:t>Fournitures et fixation des treuils d'amarrage de 5 tonnes ;</w:t>
            </w:r>
          </w:p>
          <w:p w:rsidR="009C60A8" w:rsidRPr="009C60A8" w:rsidRDefault="009C60A8" w:rsidP="009C60A8">
            <w:r w:rsidRPr="009C60A8">
              <w:t>Fournitures et fixation des treuils des rampes de 5 tonnes ;</w:t>
            </w:r>
          </w:p>
          <w:p w:rsidR="009C60A8" w:rsidRPr="009C60A8" w:rsidRDefault="009C60A8" w:rsidP="009C60A8">
            <w:r w:rsidRPr="009C60A8">
              <w:t>Etc…</w:t>
            </w:r>
          </w:p>
          <w:p w:rsidR="009C60A8" w:rsidRPr="009C60A8" w:rsidRDefault="009C60A8" w:rsidP="009C60A8"/>
          <w:p w:rsidR="009C60A8" w:rsidRPr="009C60A8" w:rsidRDefault="009C60A8" w:rsidP="009C60A8">
            <w:r w:rsidRPr="009C60A8">
              <w:t>cas 2 : Réhabilitation complète</w:t>
            </w:r>
          </w:p>
          <w:p w:rsidR="009C60A8" w:rsidRPr="009C60A8" w:rsidRDefault="009C60A8" w:rsidP="009C60A8">
            <w:r w:rsidRPr="009C60A8">
              <w:t xml:space="preserve"> </w:t>
            </w:r>
          </w:p>
          <w:p w:rsidR="009C60A8" w:rsidRPr="009C60A8" w:rsidRDefault="009C60A8" w:rsidP="009C60A8">
            <w:r w:rsidRPr="009C60A8">
              <w:t>Études topographiques et géotechniques ;</w:t>
            </w:r>
          </w:p>
          <w:p w:rsidR="009C60A8" w:rsidRPr="009C60A8" w:rsidRDefault="009C60A8" w:rsidP="009C60A8">
            <w:r w:rsidRPr="009C60A8">
              <w:t>Mesures environnementales et sociales ;</w:t>
            </w:r>
          </w:p>
          <w:p w:rsidR="009C60A8" w:rsidRPr="009C60A8" w:rsidRDefault="009C60A8" w:rsidP="009C60A8">
            <w:r w:rsidRPr="009C60A8">
              <w:t>Fourniture et pose de panneaux d'indication de chantier ;</w:t>
            </w:r>
          </w:p>
          <w:p w:rsidR="009C60A8" w:rsidRPr="009C60A8" w:rsidRDefault="009C60A8" w:rsidP="009C60A8">
            <w:r w:rsidRPr="009C60A8">
              <w:t>Fourniture et pose des panneaux d'annonce du bac de type A20 situés à 200 m ;</w:t>
            </w:r>
          </w:p>
          <w:p w:rsidR="009C60A8" w:rsidRPr="009C60A8" w:rsidRDefault="009C60A8" w:rsidP="009C60A8">
            <w:r w:rsidRPr="009C60A8">
              <w:t>Démontage des pylônes existants ;</w:t>
            </w:r>
          </w:p>
          <w:p w:rsidR="009C60A8" w:rsidRPr="009C60A8" w:rsidRDefault="009C60A8" w:rsidP="009C60A8">
            <w:r w:rsidRPr="009C60A8">
              <w:t>Fouilles pour fondations des pylônes et massifs de câble de sécurité ;</w:t>
            </w:r>
          </w:p>
          <w:p w:rsidR="009C60A8" w:rsidRPr="009C60A8" w:rsidRDefault="009C60A8" w:rsidP="009C60A8">
            <w:r w:rsidRPr="009C60A8">
              <w:t>Béton de propreté dosé à 150 kg/m3 pour pylône et massifs de câble de sécurité ;</w:t>
            </w:r>
          </w:p>
          <w:p w:rsidR="009C60A8" w:rsidRPr="009C60A8" w:rsidRDefault="009C60A8" w:rsidP="009C60A8">
            <w:r w:rsidRPr="009C60A8">
              <w:t>Béton armé dosé à 350 kg/m3 pour pylône et massifs de câble de sécurité ;</w:t>
            </w:r>
          </w:p>
          <w:p w:rsidR="009C60A8" w:rsidRPr="009C60A8" w:rsidRDefault="009C60A8" w:rsidP="009C60A8">
            <w:r w:rsidRPr="009C60A8">
              <w:t>Mise dans l'eau du bac;</w:t>
            </w:r>
          </w:p>
          <w:p w:rsidR="009C60A8" w:rsidRPr="009C60A8" w:rsidRDefault="009C60A8" w:rsidP="009C60A8">
            <w:r w:rsidRPr="009C60A8">
              <w:t>Construction des portiques en IPE 220 ;</w:t>
            </w:r>
          </w:p>
          <w:p w:rsidR="009C60A8" w:rsidRPr="009C60A8" w:rsidRDefault="009C60A8" w:rsidP="009C60A8">
            <w:r w:rsidRPr="009C60A8">
              <w:t>Construction des rampes d'accès IPE 220 ;</w:t>
            </w:r>
          </w:p>
          <w:p w:rsidR="009C60A8" w:rsidRPr="009C60A8" w:rsidRDefault="009C60A8" w:rsidP="009C60A8">
            <w:r w:rsidRPr="009C60A8">
              <w:t>Fournitures et installation d'un système d'articulation des rampes (huit(08) poulies de rampes, quatre (04) moufles, câble (Ø26) et câblage, etc.) y compris toute sujétion ;</w:t>
            </w:r>
          </w:p>
          <w:p w:rsidR="009C60A8" w:rsidRPr="009C60A8" w:rsidRDefault="009C60A8" w:rsidP="009C60A8">
            <w:r w:rsidRPr="009C60A8">
              <w:t>Fournitures et installation des palans de guidage ;</w:t>
            </w:r>
          </w:p>
          <w:p w:rsidR="009C60A8" w:rsidRPr="009C60A8" w:rsidRDefault="009C60A8" w:rsidP="009C60A8">
            <w:r w:rsidRPr="009C60A8">
              <w:t>Fourniture et accrochage du câble d'amarrage manuel  Ф 20 ;</w:t>
            </w:r>
          </w:p>
          <w:p w:rsidR="009C60A8" w:rsidRPr="009C60A8" w:rsidRDefault="009C60A8" w:rsidP="009C60A8">
            <w:r w:rsidRPr="009C60A8">
              <w:t>Graissage du câble porteur (câble de sécurité) ;</w:t>
            </w:r>
          </w:p>
          <w:p w:rsidR="009C60A8" w:rsidRPr="009C60A8" w:rsidRDefault="009C60A8" w:rsidP="009C60A8">
            <w:r w:rsidRPr="009C60A8">
              <w:t>Fourniture et fixation des galets  et accessoires de guidage du câble de traction;</w:t>
            </w:r>
          </w:p>
          <w:p w:rsidR="009C60A8" w:rsidRPr="009C60A8" w:rsidRDefault="009C60A8" w:rsidP="009C60A8">
            <w:r w:rsidRPr="009C60A8">
              <w:t>Fourniture d'un appareil de graissage du câble porteur (câble de sécurité) ;</w:t>
            </w:r>
          </w:p>
          <w:p w:rsidR="009C60A8" w:rsidRPr="009C60A8" w:rsidRDefault="009C60A8" w:rsidP="009C60A8">
            <w:r w:rsidRPr="009C60A8">
              <w:t>Fourniture des bouées de sauvetage ;</w:t>
            </w:r>
          </w:p>
          <w:p w:rsidR="009C60A8" w:rsidRPr="009C60A8" w:rsidRDefault="009C60A8" w:rsidP="009C60A8">
            <w:r w:rsidRPr="009C60A8">
              <w:t>Fourniture des gilets de sauvetage ;</w:t>
            </w:r>
          </w:p>
          <w:p w:rsidR="009C60A8" w:rsidRPr="009C60A8" w:rsidRDefault="009C60A8" w:rsidP="009C60A8">
            <w:r w:rsidRPr="009C60A8">
              <w:t>Maintien de la circulation pendant la durée des travaux et transbordement des matériels et matériaux ;</w:t>
            </w:r>
          </w:p>
          <w:p w:rsidR="009C60A8" w:rsidRPr="009C60A8" w:rsidRDefault="009C60A8" w:rsidP="009C60A8">
            <w:r w:rsidRPr="009C60A8">
              <w:t>Fourniture et installation de barrière de sécurisation du bac ;</w:t>
            </w:r>
          </w:p>
          <w:p w:rsidR="009C60A8" w:rsidRPr="009C60A8" w:rsidRDefault="009C60A8" w:rsidP="009C60A8">
            <w:r w:rsidRPr="009C60A8">
              <w:t>Maintenance préventive et curative pendant la période de garantie ;</w:t>
            </w:r>
          </w:p>
          <w:p w:rsidR="009C60A8" w:rsidRPr="009C60A8" w:rsidRDefault="009C60A8" w:rsidP="009C60A8">
            <w:r w:rsidRPr="009C60A8">
              <w:t>Etc…</w:t>
            </w:r>
          </w:p>
          <w:p w:rsidR="009C60A8" w:rsidRPr="009C60A8" w:rsidRDefault="009C60A8" w:rsidP="009C60A8"/>
          <w:p w:rsidR="009C60A8" w:rsidRPr="009C60A8" w:rsidRDefault="009C60A8" w:rsidP="009C60A8">
            <w:r w:rsidRPr="009C60A8">
              <w:t>Par ailleurs, la consistance des travaux est beaucoup plus exhaustive dans le Cahier des Clauses Techniques Particulières.</w:t>
            </w:r>
          </w:p>
          <w:p w:rsidR="009C60A8" w:rsidRPr="009C60A8" w:rsidRDefault="009C60A8" w:rsidP="009C60A8"/>
        </w:tc>
      </w:tr>
      <w:tr w:rsidR="009C60A8" w:rsidRPr="009C60A8" w:rsidTr="000B73F4">
        <w:trPr>
          <w:gridAfter w:val="1"/>
          <w:wAfter w:w="40" w:type="dxa"/>
          <w:trHeight w:hRule="exact" w:val="1428"/>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1.2.</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r w:rsidRPr="009C60A8">
              <w:t>Délai d’exécution :</w:t>
            </w:r>
          </w:p>
          <w:p w:rsidR="009C60A8" w:rsidRPr="009C60A8" w:rsidRDefault="009C60A8" w:rsidP="009C60A8">
            <w:r w:rsidRPr="009C60A8">
              <w:t>Le délai global d’exécution des travaux est de __________ mois calendaires. Ce délai court à compter de la date de notification de l’ordre de service de commencer les travaux.</w:t>
            </w:r>
          </w:p>
          <w:p w:rsidR="009C60A8" w:rsidRPr="009C60A8" w:rsidRDefault="009C60A8" w:rsidP="009C60A8"/>
        </w:tc>
      </w:tr>
      <w:tr w:rsidR="009C60A8" w:rsidRPr="009C60A8" w:rsidTr="000B73F4">
        <w:trPr>
          <w:gridAfter w:val="1"/>
          <w:wAfter w:w="40" w:type="dxa"/>
          <w:trHeight w:hRule="exact" w:val="850"/>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2.1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r w:rsidRPr="009C60A8">
              <w:t>Source(s) de financement :</w:t>
            </w:r>
          </w:p>
          <w:p w:rsidR="009C60A8" w:rsidRPr="009C60A8" w:rsidRDefault="009C60A8" w:rsidP="009C60A8">
            <w:r w:rsidRPr="009C60A8">
              <w:t>Les travaux objet du présent Appel d’Offres sont financés par le Budget du MINTP, Exercices ________ et Suivants, Ligne Fonds Routier.</w:t>
            </w:r>
          </w:p>
          <w:p w:rsidR="009C60A8" w:rsidRPr="009C60A8" w:rsidRDefault="009C60A8" w:rsidP="009C60A8"/>
          <w:p w:rsidR="009C60A8" w:rsidRPr="009C60A8" w:rsidRDefault="009C60A8" w:rsidP="009C60A8"/>
        </w:tc>
      </w:tr>
      <w:tr w:rsidR="009C60A8" w:rsidRPr="009C60A8" w:rsidTr="000B73F4">
        <w:trPr>
          <w:gridAfter w:val="1"/>
          <w:wAfter w:w="40" w:type="dxa"/>
          <w:trHeight w:val="3962"/>
        </w:trPr>
        <w:tc>
          <w:tcPr>
            <w:tcW w:w="993"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6.1</w:t>
            </w:r>
          </w:p>
        </w:tc>
        <w:tc>
          <w:tcPr>
            <w:tcW w:w="9639"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Critères d’évaluation des offres :</w:t>
            </w:r>
          </w:p>
          <w:p w:rsidR="009C60A8" w:rsidRPr="009C60A8" w:rsidRDefault="009C60A8" w:rsidP="009C60A8"/>
          <w:p w:rsidR="009C60A8" w:rsidRPr="009C60A8" w:rsidRDefault="009C60A8" w:rsidP="009C60A8">
            <w:r w:rsidRPr="009C60A8">
              <w:t>*Critères éliminatoires</w:t>
            </w:r>
          </w:p>
          <w:p w:rsidR="009C60A8" w:rsidRPr="009C60A8" w:rsidRDefault="009C60A8" w:rsidP="009C60A8">
            <w:r w:rsidRPr="009C60A8">
              <w:t>Dossier administratif</w:t>
            </w:r>
          </w:p>
          <w:p w:rsidR="009C60A8" w:rsidRPr="009C60A8" w:rsidRDefault="009C60A8" w:rsidP="009C60A8"/>
          <w:p w:rsidR="009C60A8" w:rsidRPr="009C60A8" w:rsidRDefault="009C60A8" w:rsidP="009C60A8">
            <w:r w:rsidRPr="009C60A8">
              <w:t>a)Dossier administratif incomplet pour absence de l’une des pièces exigées ;</w:t>
            </w:r>
          </w:p>
          <w:p w:rsidR="009C60A8" w:rsidRPr="009C60A8" w:rsidRDefault="009C60A8" w:rsidP="009C60A8">
            <w:r w:rsidRPr="009C60A8">
              <w:t>b) Fausse déclaration ;</w:t>
            </w:r>
          </w:p>
          <w:p w:rsidR="009C60A8" w:rsidRPr="009C60A8" w:rsidRDefault="009C60A8" w:rsidP="009C60A8">
            <w:r w:rsidRPr="009C60A8">
              <w:t>c) Documents falsifiés en lieu et place des copies certifiées ou originaux  ou documents scanner,</w:t>
            </w:r>
          </w:p>
          <w:p w:rsidR="009C60A8" w:rsidRPr="009C60A8" w:rsidRDefault="009C60A8" w:rsidP="009C60A8">
            <w:r w:rsidRPr="009C60A8">
              <w:t>d) absence de la caution de soumission</w:t>
            </w:r>
          </w:p>
          <w:p w:rsidR="009C60A8" w:rsidRPr="009C60A8" w:rsidRDefault="009C60A8" w:rsidP="009C60A8">
            <w:r w:rsidRPr="009C60A8">
              <w:t xml:space="preserve">         2) Dossier Technique</w:t>
            </w:r>
          </w:p>
          <w:p w:rsidR="009C60A8" w:rsidRPr="009C60A8" w:rsidRDefault="009C60A8" w:rsidP="009C60A8">
            <w:r w:rsidRPr="009C60A8">
              <w:t>Offre technique incomplète pour absence de l’un des éléments ci-après:</w:t>
            </w:r>
          </w:p>
          <w:p w:rsidR="009C60A8" w:rsidRPr="009C60A8" w:rsidRDefault="009C60A8" w:rsidP="009C60A8">
            <w:r w:rsidRPr="009C60A8">
              <w:t>Fausse déclaration ;</w:t>
            </w:r>
          </w:p>
          <w:p w:rsidR="009C60A8" w:rsidRPr="009C60A8" w:rsidRDefault="009C60A8" w:rsidP="009C60A8">
            <w:r w:rsidRPr="009C60A8">
              <w:t>Documents falsifiés en lieu et place des copies certifiées ou originaux  ou documents scannés ;</w:t>
            </w:r>
          </w:p>
          <w:p w:rsidR="009C60A8" w:rsidRPr="009C60A8" w:rsidRDefault="009C60A8" w:rsidP="009C60A8">
            <w:r w:rsidRPr="009C60A8">
              <w:t>Absence dans le personnel d’un ingénieur électrotechnicien</w:t>
            </w:r>
          </w:p>
          <w:p w:rsidR="009C60A8" w:rsidRPr="009C60A8" w:rsidRDefault="009C60A8" w:rsidP="009C60A8">
            <w:r w:rsidRPr="009C60A8">
              <w:t>Absence dans le personnel d’un expert en construction navale ou fluvial, ou d’un Ingénieur ou un Technicien des techniques industrielles ;</w:t>
            </w:r>
          </w:p>
          <w:p w:rsidR="009C60A8" w:rsidRPr="009C60A8" w:rsidRDefault="009C60A8" w:rsidP="009C60A8">
            <w:r w:rsidRPr="009C60A8">
              <w:t>Absence de la capacité financière de montant au moins égale à 30% du coût   prévisionnel du lot postulé ;</w:t>
            </w:r>
          </w:p>
          <w:p w:rsidR="009C60A8" w:rsidRPr="009C60A8" w:rsidRDefault="009C60A8" w:rsidP="009C60A8">
            <w:r w:rsidRPr="009C60A8">
              <w:t>Avoir été mis en demeure au cours de la réalisation d’un marché de réhabilitation ou de construction fluviale (bac  ou bateau etc.)</w:t>
            </w:r>
          </w:p>
          <w:p w:rsidR="009C60A8" w:rsidRPr="009C60A8" w:rsidRDefault="009C60A8" w:rsidP="009C60A8">
            <w:r w:rsidRPr="009C60A8">
              <w:t>Non justification de la possession en propre ou en location du matériel suivant :</w:t>
            </w:r>
          </w:p>
          <w:p w:rsidR="009C60A8" w:rsidRPr="009C60A8" w:rsidRDefault="009C60A8" w:rsidP="009C60A8"/>
          <w:tbl>
            <w:tblPr>
              <w:tblW w:w="0" w:type="auto"/>
              <w:tblInd w:w="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4536"/>
              <w:gridCol w:w="3183"/>
            </w:tblGrid>
            <w:tr w:rsidR="009C60A8" w:rsidRPr="009C60A8" w:rsidTr="000B73F4">
              <w:tc>
                <w:tcPr>
                  <w:tcW w:w="1034" w:type="dxa"/>
                  <w:shd w:val="clear" w:color="auto" w:fill="auto"/>
                </w:tcPr>
                <w:p w:rsidR="009C60A8" w:rsidRPr="009C60A8" w:rsidRDefault="009C60A8" w:rsidP="009C60A8">
                  <w:r w:rsidRPr="009C60A8">
                    <w:t>N°</w:t>
                  </w:r>
                </w:p>
              </w:tc>
              <w:tc>
                <w:tcPr>
                  <w:tcW w:w="4536" w:type="dxa"/>
                </w:tcPr>
                <w:p w:rsidR="009C60A8" w:rsidRPr="009C60A8" w:rsidRDefault="009C60A8" w:rsidP="009C60A8">
                  <w:r w:rsidRPr="009C60A8">
                    <w:t xml:space="preserve">     Désignation</w:t>
                  </w:r>
                </w:p>
              </w:tc>
              <w:tc>
                <w:tcPr>
                  <w:tcW w:w="3183" w:type="dxa"/>
                </w:tcPr>
                <w:p w:rsidR="009C60A8" w:rsidRPr="009C60A8" w:rsidRDefault="009C60A8" w:rsidP="009C60A8">
                  <w:r w:rsidRPr="009C60A8">
                    <w:t>Quantité</w:t>
                  </w:r>
                </w:p>
              </w:tc>
            </w:tr>
            <w:tr w:rsidR="009C60A8" w:rsidRPr="009C60A8" w:rsidTr="000B73F4">
              <w:tc>
                <w:tcPr>
                  <w:tcW w:w="1034" w:type="dxa"/>
                  <w:shd w:val="clear" w:color="auto" w:fill="auto"/>
                </w:tcPr>
                <w:p w:rsidR="009C60A8" w:rsidRPr="009C60A8" w:rsidRDefault="009C60A8" w:rsidP="009C60A8">
                  <w:r w:rsidRPr="009C60A8">
                    <w:t>01</w:t>
                  </w:r>
                </w:p>
              </w:tc>
              <w:tc>
                <w:tcPr>
                  <w:tcW w:w="4536" w:type="dxa"/>
                </w:tcPr>
                <w:p w:rsidR="009C60A8" w:rsidRPr="009C60A8" w:rsidRDefault="009C60A8" w:rsidP="009C60A8">
                  <w:r w:rsidRPr="009C60A8">
                    <w:t>Poste de soudure (précisé la capacité)</w:t>
                  </w:r>
                </w:p>
              </w:tc>
              <w:tc>
                <w:tcPr>
                  <w:tcW w:w="3183" w:type="dxa"/>
                </w:tcPr>
                <w:p w:rsidR="009C60A8" w:rsidRPr="009C60A8" w:rsidRDefault="009C60A8" w:rsidP="009C60A8"/>
              </w:tc>
            </w:tr>
            <w:tr w:rsidR="009C60A8" w:rsidRPr="009C60A8" w:rsidTr="000B73F4">
              <w:tc>
                <w:tcPr>
                  <w:tcW w:w="1034" w:type="dxa"/>
                  <w:shd w:val="clear" w:color="auto" w:fill="auto"/>
                </w:tcPr>
                <w:p w:rsidR="009C60A8" w:rsidRPr="009C60A8" w:rsidRDefault="009C60A8" w:rsidP="009C60A8">
                  <w:r w:rsidRPr="009C60A8">
                    <w:t xml:space="preserve">     02</w:t>
                  </w:r>
                </w:p>
              </w:tc>
              <w:tc>
                <w:tcPr>
                  <w:tcW w:w="4536" w:type="dxa"/>
                </w:tcPr>
                <w:p w:rsidR="009C60A8" w:rsidRPr="009C60A8" w:rsidRDefault="009C60A8" w:rsidP="009C60A8">
                  <w:r w:rsidRPr="009C60A8">
                    <w:t xml:space="preserve"> Tire-fort</w:t>
                  </w:r>
                </w:p>
              </w:tc>
              <w:tc>
                <w:tcPr>
                  <w:tcW w:w="3183" w:type="dxa"/>
                </w:tcPr>
                <w:p w:rsidR="009C60A8" w:rsidRPr="009C60A8" w:rsidRDefault="009C60A8" w:rsidP="009C60A8">
                  <w:r w:rsidRPr="009C60A8">
                    <w:t>2</w:t>
                  </w:r>
                </w:p>
              </w:tc>
            </w:tr>
            <w:tr w:rsidR="009C60A8" w:rsidRPr="009C60A8" w:rsidTr="000B73F4">
              <w:tc>
                <w:tcPr>
                  <w:tcW w:w="1034" w:type="dxa"/>
                  <w:shd w:val="clear" w:color="auto" w:fill="auto"/>
                </w:tcPr>
                <w:p w:rsidR="009C60A8" w:rsidRPr="009C60A8" w:rsidRDefault="009C60A8" w:rsidP="009C60A8">
                  <w:r w:rsidRPr="009C60A8">
                    <w:t xml:space="preserve">     03</w:t>
                  </w:r>
                </w:p>
              </w:tc>
              <w:tc>
                <w:tcPr>
                  <w:tcW w:w="4536" w:type="dxa"/>
                </w:tcPr>
                <w:p w:rsidR="009C60A8" w:rsidRPr="009C60A8" w:rsidRDefault="009C60A8" w:rsidP="009C60A8">
                  <w:r w:rsidRPr="009C60A8">
                    <w:t>Un groupe électrogène   ≥ 15 KVa</w:t>
                  </w:r>
                </w:p>
              </w:tc>
              <w:tc>
                <w:tcPr>
                  <w:tcW w:w="3183" w:type="dxa"/>
                </w:tcPr>
                <w:p w:rsidR="009C60A8" w:rsidRPr="009C60A8" w:rsidRDefault="009C60A8" w:rsidP="009C60A8">
                  <w:r w:rsidRPr="009C60A8">
                    <w:t>1</w:t>
                  </w:r>
                </w:p>
              </w:tc>
            </w:tr>
            <w:tr w:rsidR="009C60A8" w:rsidRPr="009C60A8" w:rsidTr="000B73F4">
              <w:tc>
                <w:tcPr>
                  <w:tcW w:w="1034" w:type="dxa"/>
                  <w:shd w:val="clear" w:color="auto" w:fill="auto"/>
                </w:tcPr>
                <w:p w:rsidR="009C60A8" w:rsidRPr="009C60A8" w:rsidRDefault="009C60A8" w:rsidP="009C60A8">
                  <w:r w:rsidRPr="009C60A8">
                    <w:t>04</w:t>
                  </w:r>
                </w:p>
              </w:tc>
              <w:tc>
                <w:tcPr>
                  <w:tcW w:w="4536" w:type="dxa"/>
                </w:tcPr>
                <w:p w:rsidR="009C60A8" w:rsidRPr="009C60A8" w:rsidRDefault="009C60A8" w:rsidP="009C60A8">
                  <w:r w:rsidRPr="009C60A8">
                    <w:t>Une pirogue à moteur (précisé la capacité du moteur)</w:t>
                  </w:r>
                </w:p>
              </w:tc>
              <w:tc>
                <w:tcPr>
                  <w:tcW w:w="3183" w:type="dxa"/>
                </w:tcPr>
                <w:p w:rsidR="009C60A8" w:rsidRPr="009C60A8" w:rsidRDefault="009C60A8" w:rsidP="009C60A8">
                  <w:r w:rsidRPr="009C60A8">
                    <w:t>1</w:t>
                  </w:r>
                </w:p>
              </w:tc>
            </w:tr>
            <w:tr w:rsidR="009C60A8" w:rsidRPr="009C60A8" w:rsidTr="000B73F4">
              <w:tc>
                <w:tcPr>
                  <w:tcW w:w="1034" w:type="dxa"/>
                  <w:shd w:val="clear" w:color="auto" w:fill="auto"/>
                </w:tcPr>
                <w:p w:rsidR="009C60A8" w:rsidRPr="009C60A8" w:rsidRDefault="009C60A8" w:rsidP="009C60A8">
                  <w:r w:rsidRPr="009C60A8">
                    <w:lastRenderedPageBreak/>
                    <w:t>05</w:t>
                  </w:r>
                </w:p>
              </w:tc>
              <w:tc>
                <w:tcPr>
                  <w:tcW w:w="4536" w:type="dxa"/>
                </w:tcPr>
                <w:p w:rsidR="009C60A8" w:rsidRPr="009C60A8" w:rsidRDefault="009C60A8" w:rsidP="009C60A8">
                  <w:r w:rsidRPr="009C60A8">
                    <w:t>Un véhicule pick – up.</w:t>
                  </w:r>
                </w:p>
              </w:tc>
              <w:tc>
                <w:tcPr>
                  <w:tcW w:w="3183" w:type="dxa"/>
                </w:tcPr>
                <w:p w:rsidR="009C60A8" w:rsidRPr="009C60A8" w:rsidRDefault="009C60A8" w:rsidP="009C60A8">
                  <w:r w:rsidRPr="009C60A8">
                    <w:t>1</w:t>
                  </w:r>
                </w:p>
              </w:tc>
            </w:tr>
          </w:tbl>
          <w:p w:rsidR="009C60A8" w:rsidRPr="009C60A8" w:rsidRDefault="009C60A8" w:rsidP="009C60A8"/>
          <w:p w:rsidR="009C60A8" w:rsidRPr="009C60A8" w:rsidRDefault="009C60A8" w:rsidP="009C60A8">
            <w:r w:rsidRPr="009C60A8">
              <w:t xml:space="preserve">  g) N’avoir pas obtenu au moins un total de 31 critères sur l’ensemble des 41 critères essentiels ;</w:t>
            </w:r>
          </w:p>
          <w:p w:rsidR="009C60A8" w:rsidRPr="009C60A8" w:rsidRDefault="009C60A8" w:rsidP="009C60A8"/>
          <w:p w:rsidR="009C60A8" w:rsidRPr="009C60A8" w:rsidRDefault="009C60A8" w:rsidP="009C60A8">
            <w:r w:rsidRPr="009C60A8">
              <w:t xml:space="preserve">     3) Dossier  financier</w:t>
            </w:r>
          </w:p>
          <w:p w:rsidR="009C60A8" w:rsidRPr="009C60A8" w:rsidRDefault="009C60A8" w:rsidP="009C60A8">
            <w:r w:rsidRPr="009C60A8">
              <w:t>a) Fausse déclaration ;</w:t>
            </w:r>
          </w:p>
          <w:p w:rsidR="009C60A8" w:rsidRPr="009C60A8" w:rsidRDefault="009C60A8" w:rsidP="009C60A8">
            <w:r w:rsidRPr="009C60A8">
              <w:t xml:space="preserve">   b) Documents falsifiés en lieu et place des copies certifiées ou originaux  ou</w:t>
            </w:r>
          </w:p>
          <w:p w:rsidR="009C60A8" w:rsidRPr="009C60A8" w:rsidRDefault="009C60A8" w:rsidP="009C60A8">
            <w:r w:rsidRPr="009C60A8">
              <w:t>c) Offre financière incomplète pour absence de l’une des pièces ci-après:</w:t>
            </w:r>
          </w:p>
          <w:p w:rsidR="009C60A8" w:rsidRPr="009C60A8" w:rsidRDefault="009C60A8" w:rsidP="009C60A8">
            <w:r w:rsidRPr="009C60A8">
              <w:t>la soumission,</w:t>
            </w:r>
          </w:p>
          <w:p w:rsidR="009C60A8" w:rsidRPr="009C60A8" w:rsidRDefault="009C60A8" w:rsidP="009C60A8">
            <w:r w:rsidRPr="009C60A8">
              <w:t>le bordereau des prix,</w:t>
            </w:r>
          </w:p>
          <w:p w:rsidR="009C60A8" w:rsidRPr="009C60A8" w:rsidRDefault="009C60A8" w:rsidP="009C60A8">
            <w:r w:rsidRPr="009C60A8">
              <w:t>le détail estimatif,</w:t>
            </w:r>
          </w:p>
          <w:p w:rsidR="009C60A8" w:rsidRPr="009C60A8" w:rsidRDefault="009C60A8" w:rsidP="009C60A8">
            <w:r w:rsidRPr="009C60A8">
              <w:t>le sous-détail des prix unitaires.</w:t>
            </w:r>
          </w:p>
          <w:p w:rsidR="009C60A8" w:rsidRPr="009C60A8" w:rsidRDefault="009C60A8" w:rsidP="009C60A8">
            <w:r w:rsidRPr="009C60A8">
              <w:t>i) Omission dans l’offre financière d’un prix unitaire quantifié (l’élimination se fera pour les lots concernés).</w:t>
            </w:r>
          </w:p>
          <w:p w:rsidR="009C60A8" w:rsidRPr="009C60A8" w:rsidRDefault="009C60A8" w:rsidP="009C60A8"/>
          <w:p w:rsidR="009C60A8" w:rsidRPr="009C60A8" w:rsidRDefault="009C60A8" w:rsidP="009C60A8"/>
          <w:p w:rsidR="009C60A8" w:rsidRPr="009C60A8" w:rsidRDefault="009C60A8" w:rsidP="009C60A8"/>
          <w:p w:rsidR="009C60A8" w:rsidRPr="009C60A8" w:rsidRDefault="009C60A8" w:rsidP="009C60A8">
            <w:r w:rsidRPr="009C60A8">
              <w:t xml:space="preserve"> Critères de qualification (critère essentiel)</w:t>
            </w:r>
          </w:p>
          <w:p w:rsidR="009C60A8" w:rsidRPr="009C60A8" w:rsidRDefault="009C60A8" w:rsidP="009C60A8"/>
          <w:p w:rsidR="009C60A8" w:rsidRPr="009C60A8" w:rsidRDefault="009C60A8" w:rsidP="009C60A8">
            <w:r w:rsidRPr="009C60A8">
              <w:t>Critères essentiels :</w:t>
            </w:r>
          </w:p>
          <w:p w:rsidR="009C60A8" w:rsidRPr="009C60A8" w:rsidRDefault="009C60A8" w:rsidP="009C60A8"/>
          <w:p w:rsidR="009C60A8" w:rsidRPr="009C60A8" w:rsidRDefault="009C60A8" w:rsidP="009C60A8">
            <w:r w:rsidRPr="009C60A8">
              <w:t>L’évaluation des offres techniques sera faite sur 100 critères sur la base des critères essentiels ci-dessous :</w:t>
            </w:r>
          </w:p>
          <w:p w:rsidR="009C60A8" w:rsidRPr="009C60A8" w:rsidRDefault="009C60A8" w:rsidP="009C60A8">
            <w:r w:rsidRPr="009C60A8">
              <w:t>- Présentation de l’offre sur 3 critères</w:t>
            </w:r>
          </w:p>
          <w:p w:rsidR="009C60A8" w:rsidRPr="009C60A8" w:rsidRDefault="009C60A8" w:rsidP="009C60A8">
            <w:r w:rsidRPr="009C60A8">
              <w:t>méthodologie  planning et organigramme 20 critères</w:t>
            </w:r>
          </w:p>
          <w:p w:rsidR="009C60A8" w:rsidRPr="009C60A8" w:rsidRDefault="009C60A8" w:rsidP="009C60A8">
            <w:r w:rsidRPr="009C60A8">
              <w:t>- Les Références du Soumissionnaire sur 40 critères .</w:t>
            </w:r>
          </w:p>
          <w:p w:rsidR="009C60A8" w:rsidRPr="009C60A8" w:rsidRDefault="009C60A8" w:rsidP="009C60A8">
            <w:r w:rsidRPr="009C60A8">
              <w:t xml:space="preserve">Le personnel d’encadrement proposé sur 25 critères ; </w:t>
            </w:r>
          </w:p>
          <w:p w:rsidR="009C60A8" w:rsidRPr="009C60A8" w:rsidRDefault="009C60A8" w:rsidP="009C60A8">
            <w:r w:rsidRPr="009C60A8">
              <w:t>- Le matériel à mobiliser sur 12 critères </w:t>
            </w:r>
          </w:p>
          <w:p w:rsidR="009C60A8" w:rsidRPr="009C60A8" w:rsidRDefault="009C60A8" w:rsidP="009C60A8">
            <w:r w:rsidRPr="009C60A8">
              <w:t xml:space="preserve">- </w:t>
            </w:r>
          </w:p>
          <w:p w:rsidR="009C60A8" w:rsidRPr="009C60A8" w:rsidRDefault="009C60A8" w:rsidP="009C60A8"/>
          <w:p w:rsidR="009C60A8" w:rsidRPr="009C60A8" w:rsidRDefault="009C60A8" w:rsidP="009C60A8"/>
          <w:p w:rsidR="009C60A8" w:rsidRPr="009C60A8" w:rsidRDefault="009C60A8" w:rsidP="009C60A8">
            <w:r w:rsidRPr="009C60A8">
              <w:t>i. Présentation de l’offre sur 3 critères</w:t>
            </w:r>
          </w:p>
          <w:p w:rsidR="009C60A8" w:rsidRPr="009C60A8" w:rsidRDefault="009C60A8" w:rsidP="009C60A8">
            <w:r w:rsidRPr="009C60A8">
              <w:t>Critères essentiels : Le nombre de points attribués pour chaque critère et sous critère d’évaluation est le suivant :</w:t>
            </w:r>
          </w:p>
          <w:p w:rsidR="009C60A8" w:rsidRPr="009C60A8" w:rsidRDefault="009C60A8" w:rsidP="009C60A8">
            <w:r w:rsidRPr="009C60A8">
              <w:t>ii. méthodologie, Plan de travail et  chronogramme proposés  ---------------------20 points</w:t>
            </w:r>
          </w:p>
          <w:p w:rsidR="009C60A8" w:rsidRPr="009C60A8" w:rsidRDefault="009C60A8" w:rsidP="009C60A8">
            <w:r w:rsidRPr="009C60A8">
              <w:lastRenderedPageBreak/>
              <w:t>- Bonne compréhension du travail demandé -----------------------------------------------------4 points</w:t>
            </w:r>
          </w:p>
          <w:p w:rsidR="009C60A8" w:rsidRPr="009C60A8" w:rsidRDefault="009C60A8" w:rsidP="009C60A8">
            <w:r w:rsidRPr="009C60A8">
              <w:t>- Bonne organisation du travail, planning de réalisation adéquat des prestations-----------4 points</w:t>
            </w:r>
          </w:p>
          <w:p w:rsidR="009C60A8" w:rsidRPr="009C60A8" w:rsidRDefault="009C60A8" w:rsidP="009C60A8">
            <w:r w:rsidRPr="009C60A8">
              <w:t>- Cohérence dans la répartition des tâches entre le personnel ---------------------------------4 points</w:t>
            </w:r>
          </w:p>
          <w:p w:rsidR="009C60A8" w:rsidRPr="009C60A8" w:rsidRDefault="009C60A8" w:rsidP="009C60A8">
            <w:r w:rsidRPr="009C60A8">
              <w:t>- Pertinence de la méthodologie proposée -------------------------------------------------------4 points</w:t>
            </w:r>
          </w:p>
          <w:p w:rsidR="009C60A8" w:rsidRPr="009C60A8" w:rsidRDefault="009C60A8" w:rsidP="009C60A8">
            <w:r w:rsidRPr="009C60A8">
              <w:t>- Pertinence des observations sur  le DAO--------------------------------------------------------4 points</w:t>
            </w:r>
          </w:p>
          <w:p w:rsidR="009C60A8" w:rsidRPr="009C60A8" w:rsidRDefault="009C60A8" w:rsidP="009C60A8">
            <w:r w:rsidRPr="009C60A8">
              <w:t>NB : Les appréciations ci-après seront portées par sous-critère : Mauvais &lt;2 ; bon : ≥2≤3 ; très bon&gt;3</w:t>
            </w:r>
          </w:p>
          <w:p w:rsidR="009C60A8" w:rsidRPr="009C60A8" w:rsidRDefault="009C60A8" w:rsidP="009C60A8">
            <w:r w:rsidRPr="009C60A8">
              <w:t>iii. Références --------------------------------------------------------------------------------------40 points</w:t>
            </w:r>
          </w:p>
          <w:p w:rsidR="009C60A8" w:rsidRPr="009C60A8" w:rsidRDefault="009C60A8" w:rsidP="009C60A8">
            <w:r w:rsidRPr="009C60A8">
              <w:t xml:space="preserve">Références du soumissionnaire pour les prestations similaires réalisées au cours des cinq (05) dernières années </w:t>
            </w:r>
          </w:p>
          <w:p w:rsidR="009C60A8" w:rsidRPr="009C60A8" w:rsidRDefault="009C60A8" w:rsidP="009C60A8">
            <w:r w:rsidRPr="009C60A8">
              <w:t>- Nombre de prestations similaires réalisées dans le domaine  des bacs :</w:t>
            </w:r>
          </w:p>
          <w:p w:rsidR="009C60A8" w:rsidRPr="009C60A8" w:rsidRDefault="009C60A8" w:rsidP="009C60A8">
            <w:r w:rsidRPr="009C60A8">
              <w:t></w:t>
            </w:r>
            <w:r w:rsidRPr="009C60A8">
              <w:tab/>
              <w:t>plus de deux prestations : ---------------------------------------------------- 25 points</w:t>
            </w:r>
          </w:p>
          <w:p w:rsidR="009C60A8" w:rsidRPr="009C60A8" w:rsidRDefault="009C60A8" w:rsidP="009C60A8">
            <w:r w:rsidRPr="009C60A8">
              <w:t>         Au moins deux (02) prestations : ------------------------------------------20 points ;</w:t>
            </w:r>
          </w:p>
          <w:p w:rsidR="009C60A8" w:rsidRPr="009C60A8" w:rsidRDefault="009C60A8" w:rsidP="009C60A8">
            <w:r w:rsidRPr="009C60A8">
              <w:t></w:t>
            </w:r>
            <w:r w:rsidRPr="009C60A8">
              <w:tab/>
              <w:t>Une prestation similaire :----------------------------------------------------10 points ;</w:t>
            </w:r>
          </w:p>
          <w:p w:rsidR="009C60A8" w:rsidRPr="009C60A8" w:rsidRDefault="009C60A8" w:rsidP="009C60A8">
            <w:r w:rsidRPr="009C60A8">
              <w:t>-Nombre de marchés  dans le domaine fluvial :</w:t>
            </w:r>
          </w:p>
          <w:p w:rsidR="009C60A8" w:rsidRPr="009C60A8" w:rsidRDefault="009C60A8" w:rsidP="009C60A8">
            <w:r w:rsidRPr="009C60A8">
              <w:t></w:t>
            </w:r>
            <w:r w:rsidRPr="009C60A8">
              <w:tab/>
              <w:t>plus de deux prestations : ---------------------------------------------------- 15 points</w:t>
            </w:r>
          </w:p>
          <w:p w:rsidR="009C60A8" w:rsidRPr="009C60A8" w:rsidRDefault="009C60A8" w:rsidP="009C60A8">
            <w:r w:rsidRPr="009C60A8">
              <w:t></w:t>
            </w:r>
            <w:r w:rsidRPr="009C60A8">
              <w:tab/>
              <w:t>Au moins deux (02) prestations : ------------------------------------------10 points ;</w:t>
            </w:r>
          </w:p>
          <w:p w:rsidR="009C60A8" w:rsidRPr="009C60A8" w:rsidRDefault="009C60A8" w:rsidP="009C60A8">
            <w:r w:rsidRPr="009C60A8">
              <w:t></w:t>
            </w:r>
            <w:r w:rsidRPr="009C60A8">
              <w:tab/>
              <w:t>Une prestation similaire :----------------------------------------------------05 points.</w:t>
            </w:r>
          </w:p>
          <w:p w:rsidR="009C60A8" w:rsidRPr="009C60A8" w:rsidRDefault="009C60A8" w:rsidP="009C60A8">
            <w:r w:rsidRPr="009C60A8">
              <w:t>N.B : le soumissionnaire devra produire la copie du marché ou lettre commande (1ère et dernière page) et le  PV de réception lisible).</w:t>
            </w:r>
          </w:p>
          <w:p w:rsidR="009C60A8" w:rsidRPr="009C60A8" w:rsidRDefault="009C60A8" w:rsidP="009C60A8">
            <w:r w:rsidRPr="009C60A8">
              <w:t>iv. Qualifications et compétences du personnel clé pour la mission--------------------25 points</w:t>
            </w:r>
          </w:p>
          <w:p w:rsidR="009C60A8" w:rsidRPr="009C60A8" w:rsidRDefault="009C60A8" w:rsidP="009C60A8">
            <w:r w:rsidRPr="009C60A8">
              <w:t>•</w:t>
            </w:r>
            <w:r w:rsidRPr="009C60A8">
              <w:tab/>
              <w:t>Un (01) conducteur de travaux: Un (01) ingénieur naval ou fluvial, ou un Ingénieur des techniques industrielles ayant 10 années au moins d’expérience dans le domaine  et ayant conduit au moins trois (03) projets en tant que Chef mission dans le secteur fluvial 8: points</w:t>
            </w:r>
          </w:p>
          <w:p w:rsidR="009C60A8" w:rsidRPr="009C60A8" w:rsidRDefault="009C60A8" w:rsidP="009C60A8">
            <w:r w:rsidRPr="009C60A8">
              <w:t>Diplôme exigé --------------------------------------------- 03 points ;</w:t>
            </w:r>
          </w:p>
          <w:p w:rsidR="009C60A8" w:rsidRPr="009C60A8" w:rsidRDefault="009C60A8" w:rsidP="009C60A8">
            <w:r w:rsidRPr="009C60A8">
              <w:t>Au moins dix ans d’expérience------------------------------------03 points ;</w:t>
            </w:r>
          </w:p>
          <w:p w:rsidR="009C60A8" w:rsidRPr="009C60A8" w:rsidRDefault="009C60A8" w:rsidP="009C60A8">
            <w:r w:rsidRPr="009C60A8">
              <w:t>Au moins trois (03) projets conduits en tant que chef de projet ou conducteur de travaux -----02 points.</w:t>
            </w:r>
          </w:p>
          <w:p w:rsidR="009C60A8" w:rsidRPr="009C60A8" w:rsidRDefault="009C60A8" w:rsidP="009C60A8">
            <w:r w:rsidRPr="009C60A8">
              <w:t>•</w:t>
            </w:r>
            <w:r w:rsidRPr="009C60A8">
              <w:tab/>
              <w:t xml:space="preserve"> Un (01) conducteur  adjoint de travaux : (01) Ingénieur des travaux de Génie Civil, 7 années d’expérience dans le domaine  du génie Civil et ayant participé à au moins un (01) projet dans le secteur fluvial : 07 points</w:t>
            </w:r>
          </w:p>
          <w:p w:rsidR="009C60A8" w:rsidRPr="009C60A8" w:rsidRDefault="009C60A8" w:rsidP="009C60A8">
            <w:r w:rsidRPr="009C60A8">
              <w:t>Diplôme exigé -------------------------------------------------------- 03 points ;</w:t>
            </w:r>
          </w:p>
          <w:p w:rsidR="009C60A8" w:rsidRPr="009C60A8" w:rsidRDefault="009C60A8" w:rsidP="009C60A8">
            <w:r w:rsidRPr="009C60A8">
              <w:t>Au moins sept (7) ans d’expérience donc 3 en tant que conducteur de travaux ------02 points.</w:t>
            </w:r>
          </w:p>
          <w:p w:rsidR="009C60A8" w:rsidRPr="009C60A8" w:rsidRDefault="009C60A8" w:rsidP="009C60A8">
            <w:r w:rsidRPr="009C60A8">
              <w:t>Avoir participé au moins à un (01) projet dans le secteur fluvial ------01 point.</w:t>
            </w:r>
          </w:p>
          <w:p w:rsidR="009C60A8" w:rsidRPr="009C60A8" w:rsidRDefault="009C60A8" w:rsidP="009C60A8">
            <w:r w:rsidRPr="009C60A8">
              <w:t>•</w:t>
            </w:r>
            <w:r w:rsidRPr="009C60A8">
              <w:tab/>
              <w:t xml:space="preserve"> un (01)  chef chantier (Bac + 3) en g ou un technicien supérieur et ayant au moins 05 années d’expérience professionnelle : 05 points</w:t>
            </w:r>
          </w:p>
          <w:p w:rsidR="009C60A8" w:rsidRPr="009C60A8" w:rsidRDefault="009C60A8" w:rsidP="009C60A8">
            <w:r w:rsidRPr="009C60A8">
              <w:t>Diplôme exigé -------------------------------------------------------------02 points</w:t>
            </w:r>
          </w:p>
          <w:p w:rsidR="009C60A8" w:rsidRPr="009C60A8" w:rsidRDefault="009C60A8" w:rsidP="009C60A8">
            <w:r w:rsidRPr="009C60A8">
              <w:lastRenderedPageBreak/>
              <w:t>Au moins cinq (05) ans d’expérience----------------------------------- 01 points</w:t>
            </w:r>
          </w:p>
          <w:p w:rsidR="009C60A8" w:rsidRPr="009C60A8" w:rsidRDefault="009C60A8" w:rsidP="009C60A8">
            <w:r w:rsidRPr="009C60A8">
              <w:t>Avoir participé au moins à un (01) projet dans le secteur fluvial ------02 point.</w:t>
            </w:r>
          </w:p>
          <w:p w:rsidR="009C60A8" w:rsidRPr="009C60A8" w:rsidRDefault="009C60A8" w:rsidP="009C60A8">
            <w:r w:rsidRPr="009C60A8">
              <w:t>•</w:t>
            </w:r>
            <w:r w:rsidRPr="009C60A8">
              <w:tab/>
              <w:t xml:space="preserve"> un (01) responsable administratif et financier (Bac G2), 05 ans d’expérience : 05 points</w:t>
            </w:r>
          </w:p>
          <w:p w:rsidR="009C60A8" w:rsidRPr="009C60A8" w:rsidRDefault="009C60A8" w:rsidP="009C60A8">
            <w:r w:rsidRPr="009C60A8">
              <w:t></w:t>
            </w:r>
            <w:r w:rsidRPr="009C60A8">
              <w:tab/>
              <w:t>Diplôme exigé ------------------------------------------------------------- 02 points ;</w:t>
            </w:r>
          </w:p>
          <w:p w:rsidR="009C60A8" w:rsidRPr="009C60A8" w:rsidRDefault="009C60A8" w:rsidP="009C60A8">
            <w:r w:rsidRPr="009C60A8">
              <w:t></w:t>
            </w:r>
            <w:r w:rsidRPr="009C60A8">
              <w:tab/>
              <w:t xml:space="preserve">Au moins cinq (05) ans d’expérience----------------------------------- 01 points. </w:t>
            </w:r>
          </w:p>
          <w:p w:rsidR="009C60A8" w:rsidRPr="009C60A8" w:rsidRDefault="009C60A8" w:rsidP="009C60A8">
            <w:r w:rsidRPr="009C60A8">
              <w:t>Avoir participé au moins à un (01) projet dans le secteur fluvial ------02 point.</w:t>
            </w:r>
          </w:p>
          <w:p w:rsidR="009C60A8" w:rsidRPr="009C60A8" w:rsidRDefault="009C60A8" w:rsidP="009C60A8">
            <w:r w:rsidRPr="009C60A8">
              <w:t>•</w:t>
            </w:r>
          </w:p>
          <w:p w:rsidR="009C60A8" w:rsidRPr="009C60A8" w:rsidRDefault="009C60A8" w:rsidP="009C60A8">
            <w:r w:rsidRPr="009C60A8">
              <w:t xml:space="preserve">NB : </w:t>
            </w:r>
          </w:p>
          <w:p w:rsidR="009C60A8" w:rsidRPr="009C60A8" w:rsidRDefault="009C60A8" w:rsidP="009C60A8">
            <w:r w:rsidRPr="009C60A8">
              <w:t>•</w:t>
            </w:r>
            <w:r w:rsidRPr="009C60A8">
              <w:tab/>
              <w:t xml:space="preserve">Le CV doit être  daté et signé par  l’employeur </w:t>
            </w:r>
          </w:p>
          <w:p w:rsidR="009C60A8" w:rsidRPr="009C60A8" w:rsidRDefault="009C60A8" w:rsidP="009C60A8">
            <w:r w:rsidRPr="009C60A8">
              <w:t>•</w:t>
            </w:r>
            <w:r w:rsidRPr="009C60A8">
              <w:tab/>
              <w:t xml:space="preserve">Le personnel proposé par le soumissionnaire ne sera évalué que si les justificatifs ci-après ont été produits : copies certifiées des diplômes par l’autorité administrative (gouverneur, préfet ou sous-préfet).   </w:t>
            </w:r>
          </w:p>
          <w:p w:rsidR="009C60A8" w:rsidRPr="009C60A8" w:rsidRDefault="009C60A8" w:rsidP="009C60A8">
            <w:r w:rsidRPr="009C60A8">
              <w:t>v) Moyens techniques, matériels  ……………………..12 points ;</w:t>
            </w:r>
          </w:p>
          <w:p w:rsidR="009C60A8" w:rsidRPr="009C60A8" w:rsidRDefault="009C60A8" w:rsidP="009C60A8"/>
          <w:p w:rsidR="009C60A8" w:rsidRPr="009C60A8" w:rsidRDefault="009C60A8" w:rsidP="009C60A8">
            <w:r w:rsidRPr="009C60A8">
              <w:t>02 Tire-forts ;----------------------------------------------------------- 01points</w:t>
            </w:r>
          </w:p>
          <w:p w:rsidR="009C60A8" w:rsidRPr="009C60A8" w:rsidRDefault="009C60A8" w:rsidP="009C60A8">
            <w:r w:rsidRPr="009C60A8">
              <w:t>01 groupe électrogène  ≥ 15 KVa ; ------------------------------01 points</w:t>
            </w:r>
          </w:p>
          <w:p w:rsidR="009C60A8" w:rsidRPr="009C60A8" w:rsidRDefault="009C60A8" w:rsidP="009C60A8">
            <w:r w:rsidRPr="009C60A8">
              <w:t>01 pirogue à moteur ; ------------------------------------------------01 points</w:t>
            </w:r>
          </w:p>
          <w:p w:rsidR="009C60A8" w:rsidRPr="009C60A8" w:rsidRDefault="009C60A8" w:rsidP="009C60A8">
            <w:r w:rsidRPr="009C60A8">
              <w:t>01 véhicule pick – up ; -----------------------------------------------01 points</w:t>
            </w:r>
          </w:p>
          <w:p w:rsidR="009C60A8" w:rsidRPr="009C60A8" w:rsidRDefault="009C60A8" w:rsidP="009C60A8">
            <w:r w:rsidRPr="009C60A8">
              <w:t>Petit matériel de maçonnerie --------------------------------------01 points</w:t>
            </w:r>
          </w:p>
          <w:p w:rsidR="009C60A8" w:rsidRPr="009C60A8" w:rsidRDefault="009C60A8" w:rsidP="009C60A8">
            <w:r w:rsidRPr="009C60A8">
              <w:t>Petit matériel de sécurité------------------------------------------01 points</w:t>
            </w:r>
          </w:p>
          <w:p w:rsidR="009C60A8" w:rsidRPr="009C60A8" w:rsidRDefault="009C60A8" w:rsidP="009C60A8">
            <w:r w:rsidRPr="009C60A8">
              <w:t>Motopompes ---------------------------------------------------------01 points</w:t>
            </w:r>
          </w:p>
          <w:p w:rsidR="009C60A8" w:rsidRPr="009C60A8" w:rsidRDefault="009C60A8" w:rsidP="009C60A8">
            <w:r w:rsidRPr="009C60A8">
              <w:t>Petit matériel de mécanique -----------------------------------01 points</w:t>
            </w:r>
          </w:p>
          <w:p w:rsidR="009C60A8" w:rsidRPr="009C60A8" w:rsidRDefault="009C60A8" w:rsidP="009C60A8">
            <w:r w:rsidRPr="009C60A8">
              <w:t>compacteur vibrant à main-----------------------------------01 points</w:t>
            </w:r>
          </w:p>
          <w:p w:rsidR="009C60A8" w:rsidRPr="009C60A8" w:rsidRDefault="009C60A8" w:rsidP="009C60A8">
            <w:r w:rsidRPr="009C60A8">
              <w:t>Camion benne-----------------------------------01 points</w:t>
            </w:r>
          </w:p>
          <w:p w:rsidR="009C60A8" w:rsidRPr="009C60A8" w:rsidRDefault="009C60A8" w:rsidP="009C60A8">
            <w:r w:rsidRPr="009C60A8">
              <w:t>Bétonnière-----------------------------------01 points</w:t>
            </w:r>
          </w:p>
          <w:p w:rsidR="009C60A8" w:rsidRPr="009C60A8" w:rsidRDefault="009C60A8" w:rsidP="009C60A8">
            <w:r w:rsidRPr="009C60A8">
              <w:t>NB : Le matériel proposé par le soumissionnaire ne sera évalué que si les copies des factures d’achat du matériel certifié  par une autorité administrative ou les preuves de location ont été produites  + carte grise certifiée par les autorités compétents</w:t>
            </w:r>
          </w:p>
          <w:p w:rsidR="009C60A8" w:rsidRPr="009C60A8" w:rsidRDefault="009C60A8" w:rsidP="009C60A8">
            <w:r w:rsidRPr="009C60A8">
              <w:t>Total : 100 points</w:t>
            </w:r>
          </w:p>
          <w:p w:rsidR="009C60A8" w:rsidRPr="009C60A8" w:rsidRDefault="009C60A8" w:rsidP="009C60A8">
            <w:r w:rsidRPr="009C60A8">
              <w:t>Le score technique minimum requis est de 75 points/100</w:t>
            </w:r>
          </w:p>
        </w:tc>
      </w:tr>
      <w:tr w:rsidR="009C60A8" w:rsidRPr="009C60A8" w:rsidTr="000B73F4">
        <w:trPr>
          <w:gridAfter w:val="1"/>
          <w:wAfter w:w="40" w:type="dxa"/>
          <w:trHeight w:val="546"/>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0A8" w:rsidRPr="009C60A8" w:rsidRDefault="009C60A8" w:rsidP="009C60A8"/>
          <w:p w:rsidR="009C60A8" w:rsidRPr="009C60A8" w:rsidRDefault="009C60A8" w:rsidP="009C60A8">
            <w:r w:rsidRPr="009C60A8">
              <w:t>12.</w:t>
            </w:r>
          </w:p>
        </w:tc>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0A8" w:rsidRPr="009C60A8" w:rsidRDefault="009C60A8" w:rsidP="009C60A8"/>
          <w:p w:rsidR="009C60A8" w:rsidRPr="009C60A8" w:rsidRDefault="009C60A8" w:rsidP="009C60A8">
            <w:r w:rsidRPr="009C60A8">
              <w:t>Langue(s) de l’offre : Français ou Anglais</w:t>
            </w:r>
          </w:p>
        </w:tc>
      </w:tr>
      <w:tr w:rsidR="009C60A8" w:rsidRPr="009C60A8" w:rsidTr="000B73F4">
        <w:trPr>
          <w:gridAfter w:val="1"/>
          <w:wAfter w:w="40" w:type="dxa"/>
          <w:trHeight w:val="5237"/>
        </w:trPr>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0A8" w:rsidRPr="009C60A8" w:rsidRDefault="009C60A8" w:rsidP="009C60A8"/>
          <w:p w:rsidR="009C60A8" w:rsidRPr="009C60A8" w:rsidRDefault="009C60A8" w:rsidP="009C60A8">
            <w:r w:rsidRPr="009C60A8">
              <w:t>13.1.</w:t>
            </w:r>
          </w:p>
        </w:tc>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60A8" w:rsidRPr="009C60A8" w:rsidRDefault="009C60A8" w:rsidP="009C60A8">
            <w:r w:rsidRPr="009C60A8">
              <w:t>Préparation des offres</w:t>
            </w:r>
          </w:p>
          <w:p w:rsidR="009C60A8" w:rsidRPr="009C60A8" w:rsidRDefault="009C60A8" w:rsidP="009C60A8">
            <w:r w:rsidRPr="009C60A8">
              <w:t>La liste des documents visés à l’article 13 du RGAO devra être complétée, regroupée en trois volumes insérés respectivement dans des enveloppes intérieures et détaillée comme suit :</w:t>
            </w:r>
          </w:p>
          <w:p w:rsidR="009C60A8" w:rsidRPr="009C60A8" w:rsidRDefault="009C60A8" w:rsidP="009C60A8"/>
          <w:p w:rsidR="009C60A8" w:rsidRPr="009C60A8" w:rsidRDefault="009C60A8" w:rsidP="009C60A8">
            <w:r w:rsidRPr="009C60A8">
              <w:t xml:space="preserve">Volume 1 : Pièces constituant le dossier administratif </w:t>
            </w:r>
          </w:p>
          <w:p w:rsidR="009C60A8" w:rsidRPr="009C60A8" w:rsidRDefault="009C60A8" w:rsidP="009C60A8">
            <w:r w:rsidRPr="009C60A8">
              <w:t>L’original de l’acte de cautionnement provisoire de montant tel que précisé dans l’Avis d’Appel d’Offres (Pièce 1 du DAO), et d'un délai de validité de 120 jours à compter de la date initiale de remise des offres ;</w:t>
            </w:r>
          </w:p>
          <w:p w:rsidR="009C60A8" w:rsidRPr="009C60A8" w:rsidRDefault="009C60A8" w:rsidP="009C60A8">
            <w:r w:rsidRPr="009C60A8">
              <w:t>L’original de l’attestation de non-redevance;</w:t>
            </w:r>
          </w:p>
          <w:p w:rsidR="009C60A8" w:rsidRPr="009C60A8" w:rsidRDefault="009C60A8" w:rsidP="009C60A8">
            <w:r w:rsidRPr="009C60A8">
              <w:t>L’original de l’attestation de non-faillite délivrée par le Greffe du Tribunal de Première Instance du domicile ;</w:t>
            </w:r>
          </w:p>
          <w:p w:rsidR="009C60A8" w:rsidRPr="009C60A8" w:rsidRDefault="009C60A8" w:rsidP="009C60A8">
            <w:r w:rsidRPr="009C60A8">
              <w:t>L’original de l’attestation de non-exclusion des marchés publics délivrée par l’Agence de Régulation des Marchés Publics (ARMP).</w:t>
            </w:r>
          </w:p>
          <w:p w:rsidR="009C60A8" w:rsidRPr="009C60A8" w:rsidRDefault="009C60A8" w:rsidP="009C60A8">
            <w:r w:rsidRPr="009C60A8">
              <w:t>L’original de l’attestation signée du Directeur de la Caisse Nationale de Prévoyance Sociale, ou d’un de ses représentants dûment mandatés, certifiant qu’il a effectivement versé à la caisse les sommes dont il est redevable et précisant l’objet de la soumission et le numéro de l’Appel d’offres;</w:t>
            </w:r>
          </w:p>
          <w:p w:rsidR="009C60A8" w:rsidRPr="009C60A8" w:rsidRDefault="009C60A8" w:rsidP="009C60A8">
            <w:r w:rsidRPr="009C60A8">
              <w:t xml:space="preserve">L’original de l’attestation de domiciliation bancaire du soumissionnaire à laquelle sera domicilié le marché en cas d’attribution. Elle devra être délivrée par une Banque agréée par le Ministre en charge des Finances; </w:t>
            </w:r>
          </w:p>
          <w:p w:rsidR="009C60A8" w:rsidRPr="009C60A8" w:rsidRDefault="009C60A8" w:rsidP="009C60A8">
            <w:r w:rsidRPr="009C60A8">
              <w:t>L’original de la quittance de versement au Trésor Public des frais d’acquisition du Dossier d’Appel d’Offres et l’attestation de retrait de Dossier d’Appel d’Offres.</w:t>
            </w:r>
          </w:p>
          <w:p w:rsidR="009C60A8" w:rsidRPr="009C60A8" w:rsidRDefault="009C60A8" w:rsidP="009C60A8">
            <w:r w:rsidRPr="009C60A8">
              <w:t>Les pouvoirs conformes au modèle (Pièce 9.10) dans le cas où le soumissionnaire agit comme mandataire d’un groupement d’entreprises ;</w:t>
            </w:r>
          </w:p>
          <w:p w:rsidR="009C60A8" w:rsidRPr="009C60A8" w:rsidRDefault="009C60A8" w:rsidP="009C60A8">
            <w:r w:rsidRPr="009C60A8">
              <w:t>L’accord de groupement signé entre les membres du groupement attestant que tous les membres de ce groupement sont responsables solidairement de la soumission et si celle-ci est retenue, de l’exécution du marché (voir modèle 9.11) ;</w:t>
            </w:r>
          </w:p>
          <w:p w:rsidR="009C60A8" w:rsidRPr="009C60A8" w:rsidRDefault="009C60A8" w:rsidP="009C60A8">
            <w:r w:rsidRPr="009C60A8">
              <w:t>Le Règlement Particulier de l’Appel d’Offres paraphés à chaque page signé à la dernière page;</w:t>
            </w:r>
          </w:p>
          <w:p w:rsidR="009C60A8" w:rsidRPr="009C60A8" w:rsidRDefault="009C60A8" w:rsidP="009C60A8">
            <w:r w:rsidRPr="009C60A8">
              <w:t xml:space="preserve">Les modèles de garanties paraphés à chaque page; </w:t>
            </w:r>
          </w:p>
          <w:p w:rsidR="009C60A8" w:rsidRPr="009C60A8" w:rsidRDefault="009C60A8" w:rsidP="009C60A8">
            <w:r w:rsidRPr="009C60A8">
              <w:t>Le modèle de projet de Marché paraphés à chaque page et signé à la dernière page ;</w:t>
            </w:r>
          </w:p>
          <w:p w:rsidR="009C60A8" w:rsidRPr="009C60A8" w:rsidRDefault="009C60A8" w:rsidP="009C60A8">
            <w:r w:rsidRPr="009C60A8">
              <w:t>Le modèle d’élection de domicile paraphé ;</w:t>
            </w:r>
          </w:p>
          <w:p w:rsidR="009C60A8" w:rsidRPr="009C60A8" w:rsidRDefault="009C60A8" w:rsidP="009C60A8">
            <w:r w:rsidRPr="009C60A8">
              <w:t>Le Cahier des Clauses Techniques Particulières paraphé à chaque page et signé à la dernière page.</w:t>
            </w:r>
          </w:p>
          <w:p w:rsidR="009C60A8" w:rsidRPr="009C60A8" w:rsidRDefault="009C60A8" w:rsidP="009C60A8"/>
          <w:p w:rsidR="009C60A8" w:rsidRPr="009C60A8" w:rsidRDefault="009C60A8" w:rsidP="009C60A8">
            <w:r w:rsidRPr="009C60A8">
              <w:t>Les justifications administratives ci-dessus doivent dater de moins de trois (03) mois à la date initiale de lancement de l’Appel d’Offres, et présentées conformément à l'article 90 du décret 2018/366 du 20 juin 2018 portant code des marchés publics. En cas de groupement d’entreprises, chaque membre du groupement produira chacune des pièces administratives énumérées ci-dessus à l’exception des pièces 1.1, 1.6 à 1.14.</w:t>
            </w:r>
          </w:p>
          <w:p w:rsidR="009C60A8" w:rsidRPr="009C60A8" w:rsidRDefault="009C60A8" w:rsidP="009C60A8"/>
          <w:p w:rsidR="009C60A8" w:rsidRPr="009C60A8" w:rsidRDefault="009C60A8" w:rsidP="009C60A8">
            <w:r w:rsidRPr="009C60A8">
              <w:t xml:space="preserve">Volume 2 : Pièces constituant l’offre technique </w:t>
            </w:r>
          </w:p>
          <w:p w:rsidR="009C60A8" w:rsidRPr="009C60A8" w:rsidRDefault="009C60A8" w:rsidP="009C60A8"/>
          <w:p w:rsidR="009C60A8" w:rsidRPr="009C60A8" w:rsidRDefault="009C60A8" w:rsidP="009C60A8">
            <w:r w:rsidRPr="009C60A8">
              <w:t xml:space="preserve"> Visite des lieux ; le soumissionnaire produira les deux documents ci-après :</w:t>
            </w:r>
          </w:p>
          <w:p w:rsidR="009C60A8" w:rsidRPr="009C60A8" w:rsidRDefault="009C60A8" w:rsidP="009C60A8">
            <w:r w:rsidRPr="009C60A8">
              <w:t>L’attestation de visite des lieux suivant le modèle (Pièce 9.4) datée, cachetée et signée sur l'honneur par le soumissionnaire (cette Attestation aussi bien que toute l’offre engage le soumissionnaire qui ne pourra se prévaloir de la non connaissance du site pour d’éventuelles réclamations) ;</w:t>
            </w:r>
          </w:p>
          <w:p w:rsidR="009C60A8" w:rsidRPr="009C60A8" w:rsidRDefault="009C60A8" w:rsidP="009C60A8">
            <w:r w:rsidRPr="009C60A8">
              <w:t>Le rapport de visite de lieux, paraphé à chaque et signé à la dernière page par le soumissionnaire. Ce rapport se doit d’être documenté et illustratif.</w:t>
            </w:r>
          </w:p>
          <w:p w:rsidR="009C60A8" w:rsidRPr="009C60A8" w:rsidRDefault="009C60A8" w:rsidP="009C60A8">
            <w:r w:rsidRPr="009C60A8">
              <w:t>La déclaration sur l’honneur attestant que le soumissionnaire n’a pas abandonné un marché au cours des trois dernières années, et qu’il ne figure pas sur la liste des entreprises défaillantes établies par le Ministère des Marchés Publics ; </w:t>
            </w:r>
          </w:p>
          <w:p w:rsidR="009C60A8" w:rsidRPr="009C60A8" w:rsidRDefault="009C60A8" w:rsidP="009C60A8"/>
          <w:p w:rsidR="009C60A8" w:rsidRPr="009C60A8" w:rsidRDefault="009C60A8" w:rsidP="009C60A8">
            <w:r w:rsidRPr="009C60A8">
              <w:t>Personnel (Pièce 9.5)</w:t>
            </w:r>
          </w:p>
          <w:p w:rsidR="009C60A8" w:rsidRPr="009C60A8" w:rsidRDefault="009C60A8" w:rsidP="009C60A8">
            <w:r w:rsidRPr="009C60A8">
              <w:t>Le Cocontractant devra avoir, ou s'être engagée à embaucher avant le début des travaux et pour la durée du chantier, le personnel technique compétent nécessaire, à savoir :</w:t>
            </w:r>
          </w:p>
          <w:p w:rsidR="009C60A8" w:rsidRPr="009C60A8" w:rsidRDefault="009C60A8" w:rsidP="009C60A8">
            <w:r w:rsidRPr="009C60A8">
              <w:t>Conducteur des Travaux :</w:t>
            </w:r>
          </w:p>
          <w:p w:rsidR="009C60A8" w:rsidRPr="009C60A8" w:rsidRDefault="009C60A8" w:rsidP="009C60A8">
            <w:r w:rsidRPr="009C60A8">
              <w:t>Ingénieur de génie Civil (Bac + 3 minimum) ayant au moins cinq (05) années d'expérience générale en Bâtiment et Travaux Publics, et ayant effectué au moins un (01) projet de construction, de réhabilitation des bacs ou des travaux similaires en cette qualité (joindre curriculum vitae signé par le candidat, une copie certifiée conforme du diplôme signée par l’Autorité Administrative, une attestation de présentation de l’original du diplôme, une attestation de disponibilité signé du candidat et une attestation d’inscription à l’Ordre National des Ingénieurs du Génie Civil (ONIGC)) ;</w:t>
            </w:r>
          </w:p>
          <w:p w:rsidR="009C60A8" w:rsidRPr="009C60A8" w:rsidRDefault="009C60A8" w:rsidP="009C60A8">
            <w:r w:rsidRPr="009C60A8">
              <w:t>Un  Chef de chantier</w:t>
            </w:r>
          </w:p>
          <w:p w:rsidR="009C60A8" w:rsidRPr="009C60A8" w:rsidRDefault="009C60A8" w:rsidP="009C60A8">
            <w:r w:rsidRPr="009C60A8">
              <w:t>Techniciens Supérieurs ou Ingénieurs de génie Civil  non nécessairement inscrit à l’ONIGC, ayant au moins cinq (05) ans d’expérience générale en Bâtiment et Travaux Publics et ayant effectué au moins un (01) projet de construction, de réhabilitation des bacs ou des travaux similaires en cette qualité (joindre curriculum vitae signé par les candidats, une copie certifiée conforme du diplôme le plus élevé signée par l’Autorité Administrative, une attestation de présentation de l’original du diplôme, ainsi qu’une attestation de disponibilité signée du candidat) ;</w:t>
            </w:r>
          </w:p>
          <w:p w:rsidR="009C60A8" w:rsidRPr="009C60A8" w:rsidRDefault="009C60A8" w:rsidP="009C60A8">
            <w:r w:rsidRPr="009C60A8">
              <w:t>Un Électrotechnicien :</w:t>
            </w:r>
          </w:p>
          <w:p w:rsidR="009C60A8" w:rsidRPr="009C60A8" w:rsidRDefault="009C60A8" w:rsidP="009C60A8">
            <w:r w:rsidRPr="009C60A8">
              <w:t>Technicien Supérieur (BACC+2 ou plus) en électrotechnique ou électricité, ayant au moins cinq (05) ans d’expérience générale et réalisé au moins un (01) projet de construction, de réhabilitation des bacs ,d’ouvrage d’art ou des travaux similaires en cette qualité (joindre curriculum vitae signé par le candidat, une copie certifiée conforme du diplôme le plus élevé signée par l’Autorité Administrative, une attestation de présentation de l’original du diplôme, et une attestation de disponibilité signée du candidat) ;</w:t>
            </w:r>
          </w:p>
          <w:p w:rsidR="009C60A8" w:rsidRPr="009C60A8" w:rsidRDefault="009C60A8" w:rsidP="009C60A8"/>
          <w:p w:rsidR="009C60A8" w:rsidRPr="009C60A8" w:rsidRDefault="009C60A8" w:rsidP="009C60A8">
            <w:r w:rsidRPr="009C60A8">
              <w:t>Responsable Mécanique </w:t>
            </w:r>
          </w:p>
          <w:p w:rsidR="009C60A8" w:rsidRPr="009C60A8" w:rsidRDefault="009C60A8" w:rsidP="009C60A8">
            <w:r w:rsidRPr="009C60A8">
              <w:t xml:space="preserve">Technicien Supérieur (BACC+2 ou plus) de Génie mécanique ou génie industriel , ayant au moins cinq (05) ans d’expérience pratique dans le domaine de la mécanique et réalisé au moins un (01) projet de construction, de réhabilitation des bacs ou des travaux similaires en cette qualité (joindre curriculum vitae signé par le candidat, une copie certifiée conforme du diplôme le plus élevé signée par l’Autorité </w:t>
            </w:r>
            <w:r w:rsidRPr="009C60A8">
              <w:lastRenderedPageBreak/>
              <w:t>Administrative, une attestation de présentation de l’original du diplôme, et une attestation de disponibilité signée du candidat) ;</w:t>
            </w:r>
          </w:p>
          <w:p w:rsidR="009C60A8" w:rsidRPr="009C60A8" w:rsidRDefault="009C60A8" w:rsidP="009C60A8"/>
          <w:p w:rsidR="009C60A8" w:rsidRPr="009C60A8" w:rsidRDefault="009C60A8" w:rsidP="009C60A8">
            <w:r w:rsidRPr="009C60A8">
              <w:t>Responsable Administratif :</w:t>
            </w:r>
          </w:p>
          <w:p w:rsidR="009C60A8" w:rsidRPr="009C60A8" w:rsidRDefault="009C60A8" w:rsidP="009C60A8">
            <w:r w:rsidRPr="009C60A8">
              <w:t>Bachelier ayant au moins deux (02) ans d’expérience générale (joindre curriculum vitae signé par le candidat, une copie certifiée conforme du diplôme le plus élevé signée par l’Autorité Administrative, une attestation de présentation de l’original du diplôme, et une attestation de disponibilité signée du candidat).</w:t>
            </w:r>
          </w:p>
          <w:p w:rsidR="009C60A8" w:rsidRPr="009C60A8" w:rsidRDefault="009C60A8" w:rsidP="009C60A8">
            <w:r w:rsidRPr="009C60A8">
              <w:t>NB : Le personnel proposé ne sera considéré à l’évaluation que si les pièces justificatives exigées, datant de moins de trois mois et se rapportant audit personnel, sont fournies et signées.</w:t>
            </w:r>
          </w:p>
          <w:p w:rsidR="009C60A8" w:rsidRPr="009C60A8" w:rsidRDefault="009C60A8" w:rsidP="009C60A8"/>
          <w:p w:rsidR="009C60A8" w:rsidRPr="009C60A8" w:rsidRDefault="009C60A8" w:rsidP="009C60A8">
            <w:r w:rsidRPr="009C60A8">
              <w:t>Matériel de chantier (Pièce 9.6.1)</w:t>
            </w:r>
          </w:p>
          <w:p w:rsidR="009C60A8" w:rsidRPr="009C60A8" w:rsidRDefault="009C60A8" w:rsidP="009C60A8">
            <w:r w:rsidRPr="009C60A8">
              <w:t>L’entreprise devra justifier de la propriété et de l'état du matériel nécessaire à l'exécution des travaux. Les justificatifs du matériel sont les photocopies certifiées conformes des cartes grises légalisées par les services compétents du Ministère des Transports ou les photocopies certifiées conformes d’attestation de dédouanement datant de moins de trois mois à la date limite de remise des offres pour le matériel roulant, et les photocopies certifiées de factures pour les autres matériels.</w:t>
            </w:r>
          </w:p>
          <w:p w:rsidR="009C60A8" w:rsidRPr="009C60A8" w:rsidRDefault="009C60A8" w:rsidP="009C60A8">
            <w:r w:rsidRPr="009C60A8">
              <w:t>En cas de location, joindre une copie du contrat notarié de location et les copies certifiées conformes des pièces justifiant que la partie qui loue le matériel en est propriétaire à l’exception du MATGENIE. Ces pièces doivent dater de moins de trois mois à la date limite de remise des offres. La liste du matériel minimum à fournir est la suivante :</w:t>
            </w:r>
          </w:p>
          <w:p w:rsidR="009C60A8" w:rsidRPr="009C60A8" w:rsidRDefault="009C60A8" w:rsidP="009C60A8">
            <w:r w:rsidRPr="009C60A8">
              <w:t>Matériel en propre</w:t>
            </w:r>
          </w:p>
          <w:p w:rsidR="009C60A8" w:rsidRPr="009C60A8" w:rsidRDefault="009C60A8" w:rsidP="009C60A8">
            <w:r w:rsidRPr="009C60A8">
              <w:t>02 Postes de soudure ;</w:t>
            </w:r>
          </w:p>
          <w:p w:rsidR="009C60A8" w:rsidRPr="009C60A8" w:rsidRDefault="009C60A8" w:rsidP="009C60A8">
            <w:r w:rsidRPr="009C60A8">
              <w:t>02 Tire-forts ;</w:t>
            </w:r>
          </w:p>
          <w:p w:rsidR="009C60A8" w:rsidRPr="009C60A8" w:rsidRDefault="009C60A8" w:rsidP="009C60A8">
            <w:r w:rsidRPr="009C60A8">
              <w:t>01 groupe électrogène  ≥ 15 KVa ;</w:t>
            </w:r>
          </w:p>
          <w:p w:rsidR="009C60A8" w:rsidRPr="009C60A8" w:rsidRDefault="009C60A8" w:rsidP="009C60A8">
            <w:r w:rsidRPr="009C60A8">
              <w:t>01 pirogue à moteur ;</w:t>
            </w:r>
          </w:p>
          <w:p w:rsidR="009C60A8" w:rsidRPr="009C60A8" w:rsidRDefault="009C60A8" w:rsidP="009C60A8">
            <w:r w:rsidRPr="009C60A8">
              <w:t xml:space="preserve">01 véhicule pick – up. </w:t>
            </w:r>
          </w:p>
          <w:p w:rsidR="009C60A8" w:rsidRPr="009C60A8" w:rsidRDefault="009C60A8" w:rsidP="009C60A8"/>
          <w:p w:rsidR="009C60A8" w:rsidRPr="009C60A8" w:rsidRDefault="009C60A8" w:rsidP="009C60A8">
            <w:r w:rsidRPr="009C60A8">
              <w:t xml:space="preserve">Matériels à fournir en propre ou en location : </w:t>
            </w:r>
          </w:p>
          <w:tbl>
            <w:tblPr>
              <w:tblpPr w:leftFromText="141" w:rightFromText="141" w:vertAnchor="text" w:horzAnchor="margin" w:tblpY="47"/>
              <w:tblOverlap w:val="never"/>
              <w:tblW w:w="9101" w:type="dxa"/>
              <w:tblLayout w:type="fixed"/>
              <w:tblCellMar>
                <w:left w:w="0" w:type="dxa"/>
                <w:right w:w="0" w:type="dxa"/>
              </w:tblCellMar>
              <w:tblLook w:val="0000" w:firstRow="0" w:lastRow="0" w:firstColumn="0" w:lastColumn="0" w:noHBand="0" w:noVBand="0"/>
            </w:tblPr>
            <w:tblGrid>
              <w:gridCol w:w="501"/>
              <w:gridCol w:w="1342"/>
              <w:gridCol w:w="3964"/>
              <w:gridCol w:w="3294"/>
            </w:tblGrid>
            <w:tr w:rsidR="009C60A8" w:rsidRPr="009C60A8" w:rsidTr="000B73F4">
              <w:trPr>
                <w:trHeight w:hRule="exact" w:val="668"/>
              </w:trPr>
              <w:tc>
                <w:tcPr>
                  <w:tcW w:w="501"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p w:rsidR="009C60A8" w:rsidRPr="009C60A8" w:rsidRDefault="009C60A8" w:rsidP="009C60A8">
                  <w:r w:rsidRPr="009C60A8">
                    <w:t>N°</w:t>
                  </w:r>
                </w:p>
              </w:tc>
              <w:tc>
                <w:tcPr>
                  <w:tcW w:w="1342"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Nombre minimum</w:t>
                  </w:r>
                </w:p>
              </w:tc>
              <w:tc>
                <w:tcPr>
                  <w:tcW w:w="3964"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p w:rsidR="009C60A8" w:rsidRPr="009C60A8" w:rsidRDefault="009C60A8" w:rsidP="009C60A8">
                  <w:r w:rsidRPr="009C60A8">
                    <w:t>Désignation</w:t>
                  </w:r>
                </w:p>
              </w:tc>
              <w:tc>
                <w:tcPr>
                  <w:tcW w:w="3294"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Justificatif de la disponibilité du matériel</w:t>
                  </w:r>
                </w:p>
              </w:tc>
            </w:tr>
            <w:tr w:rsidR="009C60A8" w:rsidRPr="009C60A8" w:rsidTr="000B73F4">
              <w:trPr>
                <w:trHeight w:hRule="exact" w:val="350"/>
              </w:trPr>
              <w:tc>
                <w:tcPr>
                  <w:tcW w:w="501" w:type="dxa"/>
                  <w:tcBorders>
                    <w:top w:val="single" w:sz="4" w:space="0" w:color="000000"/>
                    <w:left w:val="single" w:sz="4" w:space="0" w:color="000000"/>
                    <w:bottom w:val="single" w:sz="4" w:space="0" w:color="000000"/>
                    <w:right w:val="single" w:sz="4" w:space="0" w:color="000000"/>
                  </w:tcBorders>
                  <w:vAlign w:val="center"/>
                </w:tcPr>
                <w:p w:rsidR="009C60A8" w:rsidRPr="009C60A8" w:rsidRDefault="009C60A8" w:rsidP="009C60A8">
                  <w:r w:rsidRPr="009C60A8">
                    <w:t>1.</w:t>
                  </w:r>
                </w:p>
              </w:tc>
              <w:tc>
                <w:tcPr>
                  <w:tcW w:w="1342"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1</w:t>
                  </w:r>
                </w:p>
              </w:tc>
              <w:tc>
                <w:tcPr>
                  <w:tcW w:w="3964"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compacteur vibrant à main</w:t>
                  </w:r>
                </w:p>
              </w:tc>
              <w:tc>
                <w:tcPr>
                  <w:tcW w:w="3294" w:type="dxa"/>
                  <w:vMerge w:val="restart"/>
                  <w:tcBorders>
                    <w:top w:val="single" w:sz="4" w:space="0" w:color="000000"/>
                    <w:left w:val="single" w:sz="4" w:space="0" w:color="000000"/>
                    <w:right w:val="single" w:sz="4" w:space="0" w:color="000000"/>
                  </w:tcBorders>
                </w:tcPr>
                <w:p w:rsidR="009C60A8" w:rsidRPr="009C60A8" w:rsidRDefault="009C60A8" w:rsidP="009C60A8"/>
              </w:tc>
            </w:tr>
            <w:tr w:rsidR="009C60A8" w:rsidRPr="009C60A8" w:rsidTr="000B73F4">
              <w:trPr>
                <w:trHeight w:hRule="exact" w:val="350"/>
              </w:trPr>
              <w:tc>
                <w:tcPr>
                  <w:tcW w:w="501" w:type="dxa"/>
                  <w:tcBorders>
                    <w:top w:val="single" w:sz="4" w:space="0" w:color="000000"/>
                    <w:left w:val="single" w:sz="4" w:space="0" w:color="000000"/>
                    <w:bottom w:val="single" w:sz="4" w:space="0" w:color="000000"/>
                    <w:right w:val="single" w:sz="4" w:space="0" w:color="000000"/>
                  </w:tcBorders>
                  <w:vAlign w:val="center"/>
                </w:tcPr>
                <w:p w:rsidR="009C60A8" w:rsidRPr="009C60A8" w:rsidRDefault="009C60A8" w:rsidP="009C60A8">
                  <w:r w:rsidRPr="009C60A8">
                    <w:t>2.</w:t>
                  </w:r>
                </w:p>
              </w:tc>
              <w:tc>
                <w:tcPr>
                  <w:tcW w:w="1342"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1</w:t>
                  </w:r>
                </w:p>
              </w:tc>
              <w:tc>
                <w:tcPr>
                  <w:tcW w:w="3964"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Camion benne</w:t>
                  </w:r>
                </w:p>
              </w:tc>
              <w:tc>
                <w:tcPr>
                  <w:tcW w:w="3294" w:type="dxa"/>
                  <w:vMerge/>
                  <w:tcBorders>
                    <w:left w:val="single" w:sz="4" w:space="0" w:color="000000"/>
                    <w:right w:val="single" w:sz="4" w:space="0" w:color="000000"/>
                  </w:tcBorders>
                </w:tcPr>
                <w:p w:rsidR="009C60A8" w:rsidRPr="009C60A8" w:rsidRDefault="009C60A8" w:rsidP="009C60A8"/>
              </w:tc>
            </w:tr>
            <w:tr w:rsidR="009C60A8" w:rsidRPr="009C60A8" w:rsidTr="000B73F4">
              <w:trPr>
                <w:trHeight w:hRule="exact" w:val="350"/>
              </w:trPr>
              <w:tc>
                <w:tcPr>
                  <w:tcW w:w="501" w:type="dxa"/>
                  <w:tcBorders>
                    <w:top w:val="single" w:sz="4" w:space="0" w:color="000000"/>
                    <w:left w:val="single" w:sz="4" w:space="0" w:color="000000"/>
                    <w:bottom w:val="single" w:sz="4" w:space="0" w:color="000000"/>
                    <w:right w:val="single" w:sz="4" w:space="0" w:color="000000"/>
                  </w:tcBorders>
                  <w:vAlign w:val="center"/>
                </w:tcPr>
                <w:p w:rsidR="009C60A8" w:rsidRPr="009C60A8" w:rsidRDefault="009C60A8" w:rsidP="009C60A8">
                  <w:r w:rsidRPr="009C60A8">
                    <w:t>4.</w:t>
                  </w:r>
                </w:p>
              </w:tc>
              <w:tc>
                <w:tcPr>
                  <w:tcW w:w="1342"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1</w:t>
                  </w:r>
                </w:p>
              </w:tc>
              <w:tc>
                <w:tcPr>
                  <w:tcW w:w="3964"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Bétonnière</w:t>
                  </w:r>
                </w:p>
              </w:tc>
              <w:tc>
                <w:tcPr>
                  <w:tcW w:w="3294" w:type="dxa"/>
                  <w:vMerge/>
                  <w:tcBorders>
                    <w:left w:val="single" w:sz="4" w:space="0" w:color="000000"/>
                    <w:right w:val="single" w:sz="4" w:space="0" w:color="000000"/>
                  </w:tcBorders>
                </w:tcPr>
                <w:p w:rsidR="009C60A8" w:rsidRPr="009C60A8" w:rsidRDefault="009C60A8" w:rsidP="009C60A8"/>
              </w:tc>
            </w:tr>
            <w:tr w:rsidR="009C60A8" w:rsidRPr="009C60A8" w:rsidTr="000B73F4">
              <w:trPr>
                <w:trHeight w:hRule="exact" w:val="350"/>
              </w:trPr>
              <w:tc>
                <w:tcPr>
                  <w:tcW w:w="501" w:type="dxa"/>
                  <w:tcBorders>
                    <w:top w:val="single" w:sz="4" w:space="0" w:color="000000"/>
                    <w:left w:val="single" w:sz="4" w:space="0" w:color="000000"/>
                    <w:bottom w:val="single" w:sz="4" w:space="0" w:color="000000"/>
                    <w:right w:val="single" w:sz="4" w:space="0" w:color="000000"/>
                  </w:tcBorders>
                  <w:vAlign w:val="center"/>
                </w:tcPr>
                <w:p w:rsidR="009C60A8" w:rsidRPr="009C60A8" w:rsidRDefault="009C60A8" w:rsidP="009C60A8">
                  <w:r w:rsidRPr="009C60A8">
                    <w:t>5.</w:t>
                  </w:r>
                </w:p>
              </w:tc>
              <w:tc>
                <w:tcPr>
                  <w:tcW w:w="1342"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1</w:t>
                  </w:r>
                </w:p>
              </w:tc>
              <w:tc>
                <w:tcPr>
                  <w:tcW w:w="3964"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Petit matériel de maçonnerie</w:t>
                  </w:r>
                </w:p>
              </w:tc>
              <w:tc>
                <w:tcPr>
                  <w:tcW w:w="3294" w:type="dxa"/>
                  <w:vMerge/>
                  <w:tcBorders>
                    <w:left w:val="single" w:sz="4" w:space="0" w:color="000000"/>
                    <w:right w:val="single" w:sz="4" w:space="0" w:color="000000"/>
                  </w:tcBorders>
                </w:tcPr>
                <w:p w:rsidR="009C60A8" w:rsidRPr="009C60A8" w:rsidRDefault="009C60A8" w:rsidP="009C60A8"/>
              </w:tc>
            </w:tr>
            <w:tr w:rsidR="009C60A8" w:rsidRPr="009C60A8" w:rsidTr="000B73F4">
              <w:trPr>
                <w:trHeight w:hRule="exact" w:val="348"/>
              </w:trPr>
              <w:tc>
                <w:tcPr>
                  <w:tcW w:w="501" w:type="dxa"/>
                  <w:tcBorders>
                    <w:top w:val="single" w:sz="4" w:space="0" w:color="000000"/>
                    <w:left w:val="single" w:sz="4" w:space="0" w:color="000000"/>
                    <w:bottom w:val="single" w:sz="4" w:space="0" w:color="000000"/>
                    <w:right w:val="single" w:sz="4" w:space="0" w:color="000000"/>
                  </w:tcBorders>
                  <w:vAlign w:val="center"/>
                </w:tcPr>
                <w:p w:rsidR="009C60A8" w:rsidRPr="009C60A8" w:rsidRDefault="009C60A8" w:rsidP="009C60A8">
                  <w:r w:rsidRPr="009C60A8">
                    <w:t>6.</w:t>
                  </w:r>
                </w:p>
              </w:tc>
              <w:tc>
                <w:tcPr>
                  <w:tcW w:w="1342"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1</w:t>
                  </w:r>
                </w:p>
              </w:tc>
              <w:tc>
                <w:tcPr>
                  <w:tcW w:w="3964"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Petit matériel de sécurité</w:t>
                  </w:r>
                </w:p>
              </w:tc>
              <w:tc>
                <w:tcPr>
                  <w:tcW w:w="3294" w:type="dxa"/>
                  <w:vMerge/>
                  <w:tcBorders>
                    <w:left w:val="single" w:sz="4" w:space="0" w:color="000000"/>
                    <w:right w:val="single" w:sz="4" w:space="0" w:color="000000"/>
                  </w:tcBorders>
                </w:tcPr>
                <w:p w:rsidR="009C60A8" w:rsidRPr="009C60A8" w:rsidRDefault="009C60A8" w:rsidP="009C60A8"/>
              </w:tc>
            </w:tr>
            <w:tr w:rsidR="009C60A8" w:rsidRPr="009C60A8" w:rsidTr="000B73F4">
              <w:trPr>
                <w:trHeight w:hRule="exact" w:val="350"/>
              </w:trPr>
              <w:tc>
                <w:tcPr>
                  <w:tcW w:w="501" w:type="dxa"/>
                  <w:tcBorders>
                    <w:top w:val="single" w:sz="4" w:space="0" w:color="000000"/>
                    <w:left w:val="single" w:sz="4" w:space="0" w:color="000000"/>
                    <w:bottom w:val="single" w:sz="4" w:space="0" w:color="000000"/>
                    <w:right w:val="single" w:sz="4" w:space="0" w:color="000000"/>
                  </w:tcBorders>
                  <w:vAlign w:val="center"/>
                </w:tcPr>
                <w:p w:rsidR="009C60A8" w:rsidRPr="009C60A8" w:rsidRDefault="009C60A8" w:rsidP="009C60A8">
                  <w:r w:rsidRPr="009C60A8">
                    <w:t>7.</w:t>
                  </w:r>
                </w:p>
              </w:tc>
              <w:tc>
                <w:tcPr>
                  <w:tcW w:w="1342"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1</w:t>
                  </w:r>
                </w:p>
              </w:tc>
              <w:tc>
                <w:tcPr>
                  <w:tcW w:w="3964"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Petit matériel de géotechnique</w:t>
                  </w:r>
                </w:p>
              </w:tc>
              <w:tc>
                <w:tcPr>
                  <w:tcW w:w="3294" w:type="dxa"/>
                  <w:vMerge/>
                  <w:tcBorders>
                    <w:left w:val="single" w:sz="4" w:space="0" w:color="000000"/>
                    <w:right w:val="single" w:sz="4" w:space="0" w:color="000000"/>
                  </w:tcBorders>
                </w:tcPr>
                <w:p w:rsidR="009C60A8" w:rsidRPr="009C60A8" w:rsidRDefault="009C60A8" w:rsidP="009C60A8"/>
              </w:tc>
            </w:tr>
            <w:tr w:rsidR="009C60A8" w:rsidRPr="009C60A8" w:rsidTr="000B73F4">
              <w:trPr>
                <w:trHeight w:hRule="exact" w:val="350"/>
              </w:trPr>
              <w:tc>
                <w:tcPr>
                  <w:tcW w:w="501" w:type="dxa"/>
                  <w:tcBorders>
                    <w:top w:val="single" w:sz="4" w:space="0" w:color="000000"/>
                    <w:left w:val="single" w:sz="4" w:space="0" w:color="000000"/>
                    <w:bottom w:val="single" w:sz="4" w:space="0" w:color="000000"/>
                    <w:right w:val="single" w:sz="4" w:space="0" w:color="000000"/>
                  </w:tcBorders>
                  <w:vAlign w:val="center"/>
                </w:tcPr>
                <w:p w:rsidR="009C60A8" w:rsidRPr="009C60A8" w:rsidRDefault="009C60A8" w:rsidP="009C60A8">
                  <w:r w:rsidRPr="009C60A8">
                    <w:t>8.</w:t>
                  </w:r>
                </w:p>
              </w:tc>
              <w:tc>
                <w:tcPr>
                  <w:tcW w:w="1342"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1</w:t>
                  </w:r>
                </w:p>
              </w:tc>
              <w:tc>
                <w:tcPr>
                  <w:tcW w:w="3964"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Motopompes</w:t>
                  </w:r>
                </w:p>
              </w:tc>
              <w:tc>
                <w:tcPr>
                  <w:tcW w:w="3294" w:type="dxa"/>
                  <w:vMerge/>
                  <w:tcBorders>
                    <w:left w:val="single" w:sz="4" w:space="0" w:color="000000"/>
                    <w:right w:val="single" w:sz="4" w:space="0" w:color="000000"/>
                  </w:tcBorders>
                </w:tcPr>
                <w:p w:rsidR="009C60A8" w:rsidRPr="009C60A8" w:rsidRDefault="009C60A8" w:rsidP="009C60A8"/>
              </w:tc>
            </w:tr>
            <w:tr w:rsidR="009C60A8" w:rsidRPr="009C60A8" w:rsidTr="000B73F4">
              <w:trPr>
                <w:trHeight w:hRule="exact" w:val="350"/>
              </w:trPr>
              <w:tc>
                <w:tcPr>
                  <w:tcW w:w="501" w:type="dxa"/>
                  <w:tcBorders>
                    <w:top w:val="single" w:sz="4" w:space="0" w:color="000000"/>
                    <w:left w:val="single" w:sz="4" w:space="0" w:color="000000"/>
                    <w:bottom w:val="single" w:sz="4" w:space="0" w:color="000000"/>
                    <w:right w:val="single" w:sz="4" w:space="0" w:color="000000"/>
                  </w:tcBorders>
                  <w:vAlign w:val="center"/>
                </w:tcPr>
                <w:p w:rsidR="009C60A8" w:rsidRPr="009C60A8" w:rsidRDefault="009C60A8" w:rsidP="009C60A8">
                  <w:r w:rsidRPr="009C60A8">
                    <w:t>9.</w:t>
                  </w:r>
                </w:p>
              </w:tc>
              <w:tc>
                <w:tcPr>
                  <w:tcW w:w="1342"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1</w:t>
                  </w:r>
                </w:p>
              </w:tc>
              <w:tc>
                <w:tcPr>
                  <w:tcW w:w="3964" w:type="dxa"/>
                  <w:tcBorders>
                    <w:top w:val="single" w:sz="4" w:space="0" w:color="000000"/>
                    <w:left w:val="single" w:sz="4" w:space="0" w:color="000000"/>
                    <w:bottom w:val="single" w:sz="4" w:space="0" w:color="000000"/>
                    <w:right w:val="single" w:sz="4" w:space="0" w:color="000000"/>
                  </w:tcBorders>
                </w:tcPr>
                <w:p w:rsidR="009C60A8" w:rsidRPr="009C60A8" w:rsidRDefault="009C60A8" w:rsidP="009C60A8">
                  <w:r w:rsidRPr="009C60A8">
                    <w:t>Petit matériel de mécanique</w:t>
                  </w:r>
                </w:p>
              </w:tc>
              <w:tc>
                <w:tcPr>
                  <w:tcW w:w="3294" w:type="dxa"/>
                  <w:vMerge/>
                  <w:tcBorders>
                    <w:left w:val="single" w:sz="4" w:space="0" w:color="000000"/>
                    <w:bottom w:val="single" w:sz="4" w:space="0" w:color="000000"/>
                    <w:right w:val="single" w:sz="4" w:space="0" w:color="000000"/>
                  </w:tcBorders>
                </w:tcPr>
                <w:p w:rsidR="009C60A8" w:rsidRPr="009C60A8" w:rsidRDefault="009C60A8" w:rsidP="009C60A8"/>
              </w:tc>
            </w:tr>
          </w:tbl>
          <w:p w:rsidR="009C60A8" w:rsidRPr="009C60A8" w:rsidRDefault="009C60A8" w:rsidP="009C60A8"/>
          <w:p w:rsidR="009C60A8" w:rsidRPr="009C60A8" w:rsidRDefault="009C60A8" w:rsidP="009C60A8"/>
          <w:p w:rsidR="009C60A8" w:rsidRPr="009C60A8" w:rsidRDefault="009C60A8" w:rsidP="009C60A8">
            <w:r w:rsidRPr="009C60A8">
              <w:t>Références du Cocontractant au cours des dix dernières années (2008-2018) suivant  Pièces 9.7 (joindre les première et dernière pages des marchés enregistrés et procès-verbaux de réception ou attestation de bonne fin).</w:t>
            </w:r>
          </w:p>
          <w:p w:rsidR="009C60A8" w:rsidRPr="009C60A8" w:rsidRDefault="009C60A8" w:rsidP="009C60A8"/>
          <w:p w:rsidR="009C60A8" w:rsidRPr="009C60A8" w:rsidRDefault="009C60A8" w:rsidP="009C60A8">
            <w:r w:rsidRPr="009C60A8">
              <w:t>Ces références doivent prouver que le soumissionnaire a exécuté au cours des cinq dernières années 2015-2020, des marchés de construction, de réhabilitation des bacs ou des travaux similaires de montant supérieur ou égale à 50 % montant du lot sollicité.</w:t>
            </w:r>
          </w:p>
          <w:p w:rsidR="009C60A8" w:rsidRPr="009C60A8" w:rsidRDefault="009C60A8" w:rsidP="009C60A8"/>
          <w:p w:rsidR="009C60A8" w:rsidRPr="009C60A8" w:rsidRDefault="009C60A8" w:rsidP="009C60A8">
            <w:r w:rsidRPr="009C60A8">
              <w:t>Organisation et méthodologie</w:t>
            </w:r>
          </w:p>
          <w:p w:rsidR="009C60A8" w:rsidRPr="009C60A8" w:rsidRDefault="009C60A8" w:rsidP="009C60A8">
            <w:r w:rsidRPr="009C60A8">
              <w:t>Les offres seront évaluées techniquement en prenant en considération la compréhension par le Cocontractant des opérations projetées et l’organisation de chantier qu’elle proposera pour mener à bien l’exécution des travaux envisagées. Ainsi seront fournis les  informations et renseignements ci-après :</w:t>
            </w:r>
          </w:p>
          <w:p w:rsidR="009C60A8" w:rsidRPr="009C60A8" w:rsidRDefault="009C60A8" w:rsidP="009C60A8">
            <w:r w:rsidRPr="009C60A8">
              <w:t>*</w:t>
            </w:r>
          </w:p>
          <w:p w:rsidR="009C60A8" w:rsidRPr="009C60A8" w:rsidRDefault="009C60A8" w:rsidP="009C60A8">
            <w:r w:rsidRPr="009C60A8">
              <w:t xml:space="preserve"> Le planning des travaux  (Pièce 9.8.1)</w:t>
            </w:r>
          </w:p>
          <w:p w:rsidR="009C60A8" w:rsidRPr="009C60A8" w:rsidRDefault="009C60A8" w:rsidP="009C60A8">
            <w:r w:rsidRPr="009C60A8">
              <w:t xml:space="preserve"> Les approvisionnements ou matériaux de chantier (Pièce 9.8.2) ;</w:t>
            </w:r>
          </w:p>
          <w:p w:rsidR="009C60A8" w:rsidRPr="009C60A8" w:rsidRDefault="009C60A8" w:rsidP="009C60A8">
            <w:r w:rsidRPr="009C60A8">
              <w:t>Les travaux qu’il envisage de sous-traiter (Pièce 9.8.3) ;</w:t>
            </w:r>
          </w:p>
          <w:p w:rsidR="009C60A8" w:rsidRPr="009C60A8" w:rsidRDefault="009C60A8" w:rsidP="009C60A8">
            <w:r w:rsidRPr="009C60A8">
              <w:t xml:space="preserve">Les dispositions envisagées pour l’utilisation de la main d’œuvre locale (technique HIMO) ; </w:t>
            </w:r>
          </w:p>
          <w:p w:rsidR="009C60A8" w:rsidRPr="009C60A8" w:rsidRDefault="009C60A8" w:rsidP="009C60A8">
            <w:r w:rsidRPr="009C60A8">
              <w:t>Les dispositions relatives au respect des mesures environnementales ;</w:t>
            </w:r>
          </w:p>
          <w:p w:rsidR="009C60A8" w:rsidRPr="009C60A8" w:rsidRDefault="009C60A8" w:rsidP="009C60A8">
            <w:r w:rsidRPr="009C60A8">
              <w:t>Les dispositions envisagées en cas d’attribution de deux lots (méthodologie, personnel et matériel supplémentaires à mobiliser) ;</w:t>
            </w:r>
          </w:p>
          <w:p w:rsidR="009C60A8" w:rsidRPr="009C60A8" w:rsidRDefault="009C60A8" w:rsidP="009C60A8">
            <w:r w:rsidRPr="009C60A8">
              <w:t>Liste des chantiers en cours avec leur taux d’exécution.</w:t>
            </w:r>
          </w:p>
          <w:p w:rsidR="009C60A8" w:rsidRPr="009C60A8" w:rsidRDefault="009C60A8" w:rsidP="009C60A8">
            <w:r w:rsidRPr="009C60A8">
              <w:t>Capacité de financement : Le soumissionnaire joindra une attestation de sa (ses) banque(s) donnant la preuve qu’il peut se procurer ou qu’il a à sa disposition des liquidités, des lignes de crédit et autres moyens financiers suffisants pour faire face aux besoins de financements nécessaires à l’exécution des travaux à hauteur de 50 000 000 (cinquante millions) de FCFA.</w:t>
            </w:r>
          </w:p>
          <w:p w:rsidR="009C60A8" w:rsidRPr="009C60A8" w:rsidRDefault="009C60A8" w:rsidP="009C60A8"/>
          <w:p w:rsidR="009C60A8" w:rsidRPr="009C60A8" w:rsidRDefault="009C60A8" w:rsidP="009C60A8">
            <w:r w:rsidRPr="009C60A8">
              <w:t>Volume 3 : Pièces constituant l’offre financière</w:t>
            </w:r>
          </w:p>
          <w:p w:rsidR="009C60A8" w:rsidRPr="009C60A8" w:rsidRDefault="009C60A8" w:rsidP="009C60A8">
            <w:r w:rsidRPr="009C60A8">
              <w:t>Une soumission timbrée, datée et signée ;</w:t>
            </w:r>
          </w:p>
          <w:p w:rsidR="009C60A8" w:rsidRPr="009C60A8" w:rsidRDefault="009C60A8" w:rsidP="009C60A8">
            <w:r w:rsidRPr="009C60A8">
              <w:t>Le bordereau des prix (pièce 6) suivant le modèle avec indication des prix hors TVA en chiffres et en lettres paraphé à toutes les pages et signé à la dernier page ;</w:t>
            </w:r>
          </w:p>
          <w:p w:rsidR="009C60A8" w:rsidRPr="009C60A8" w:rsidRDefault="009C60A8" w:rsidP="009C60A8">
            <w:r w:rsidRPr="009C60A8">
              <w:t>Le devis Quantitatif et Estimatif daté, signé et cacheté ;</w:t>
            </w:r>
          </w:p>
          <w:p w:rsidR="009C60A8" w:rsidRPr="009C60A8" w:rsidRDefault="009C60A8" w:rsidP="009C60A8">
            <w:r w:rsidRPr="009C60A8">
              <w:t>Les sous – détail des prix unitaire quantifié paraphé à toutes les pages</w:t>
            </w:r>
          </w:p>
          <w:p w:rsidR="009C60A8" w:rsidRPr="009C60A8" w:rsidRDefault="009C60A8" w:rsidP="009C60A8">
            <w:r w:rsidRPr="009C60A8">
              <w:t>NB : Toutes les pièces de l’offre financière paraphée, en plus les dernières pages doivent être signées, cachetées et datées.</w:t>
            </w:r>
          </w:p>
        </w:tc>
      </w:tr>
      <w:tr w:rsidR="009C60A8" w:rsidRPr="009C60A8" w:rsidTr="000B73F4">
        <w:trPr>
          <w:trHeight w:hRule="exact" w:val="507"/>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Prix et monnaie de l’offre</w:t>
            </w:r>
          </w:p>
        </w:tc>
        <w:tc>
          <w:tcPr>
            <w:tcW w:w="40" w:type="dxa"/>
            <w:shd w:val="clear" w:color="auto" w:fill="auto"/>
            <w:tcMar>
              <w:top w:w="0" w:type="dxa"/>
              <w:left w:w="10" w:type="dxa"/>
              <w:bottom w:w="0" w:type="dxa"/>
              <w:right w:w="10" w:type="dxa"/>
            </w:tcMar>
          </w:tcPr>
          <w:p w:rsidR="009C60A8" w:rsidRPr="009C60A8" w:rsidRDefault="009C60A8" w:rsidP="009C60A8"/>
        </w:tc>
      </w:tr>
      <w:tr w:rsidR="009C60A8" w:rsidRPr="009C60A8" w:rsidTr="000B73F4">
        <w:trPr>
          <w:trHeight w:hRule="exact" w:val="557"/>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14.4.</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Les prix du marché sont fermes et non révisables.</w:t>
            </w:r>
          </w:p>
        </w:tc>
        <w:tc>
          <w:tcPr>
            <w:tcW w:w="40" w:type="dxa"/>
            <w:shd w:val="clear" w:color="auto" w:fill="auto"/>
            <w:tcMar>
              <w:top w:w="0" w:type="dxa"/>
              <w:left w:w="10" w:type="dxa"/>
              <w:bottom w:w="0" w:type="dxa"/>
              <w:right w:w="10" w:type="dxa"/>
            </w:tcMar>
          </w:tcPr>
          <w:p w:rsidR="009C60A8" w:rsidRPr="009C60A8" w:rsidRDefault="009C60A8" w:rsidP="009C60A8"/>
        </w:tc>
      </w:tr>
      <w:tr w:rsidR="009C60A8" w:rsidRPr="009C60A8" w:rsidTr="000B73F4">
        <w:trPr>
          <w:trHeight w:hRule="exact" w:val="56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15.2.</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Le montant de la soumission est libellé entièrement en monnaie nationale (franc CFA).</w:t>
            </w:r>
          </w:p>
        </w:tc>
        <w:tc>
          <w:tcPr>
            <w:tcW w:w="40" w:type="dxa"/>
            <w:shd w:val="clear" w:color="auto" w:fill="auto"/>
            <w:tcMar>
              <w:top w:w="0" w:type="dxa"/>
              <w:left w:w="10" w:type="dxa"/>
              <w:bottom w:w="0" w:type="dxa"/>
              <w:right w:w="10" w:type="dxa"/>
            </w:tcMar>
          </w:tcPr>
          <w:p w:rsidR="009C60A8" w:rsidRPr="009C60A8" w:rsidRDefault="009C60A8" w:rsidP="009C60A8"/>
        </w:tc>
      </w:tr>
      <w:tr w:rsidR="009C60A8" w:rsidRPr="009C60A8" w:rsidTr="000B73F4">
        <w:trPr>
          <w:trHeight w:hRule="exact" w:val="54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Préparation et dépôt des offres</w:t>
            </w:r>
          </w:p>
        </w:tc>
        <w:tc>
          <w:tcPr>
            <w:tcW w:w="40" w:type="dxa"/>
            <w:shd w:val="clear" w:color="auto" w:fill="auto"/>
            <w:tcMar>
              <w:top w:w="0" w:type="dxa"/>
              <w:left w:w="10" w:type="dxa"/>
              <w:bottom w:w="0" w:type="dxa"/>
              <w:right w:w="10" w:type="dxa"/>
            </w:tcMar>
          </w:tcPr>
          <w:p w:rsidR="009C60A8" w:rsidRPr="009C60A8" w:rsidRDefault="009C60A8" w:rsidP="009C60A8"/>
        </w:tc>
      </w:tr>
      <w:tr w:rsidR="009C60A8" w:rsidRPr="009C60A8" w:rsidTr="000B73F4">
        <w:trPr>
          <w:trHeight w:hRule="exact" w:val="3368"/>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16.1.</w:t>
            </w:r>
          </w:p>
          <w:p w:rsidR="009C60A8" w:rsidRPr="009C60A8" w:rsidRDefault="009C60A8" w:rsidP="009C60A8"/>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r w:rsidRPr="009C60A8">
              <w:t>Période de validité des offres :</w:t>
            </w:r>
          </w:p>
          <w:p w:rsidR="009C60A8" w:rsidRPr="009C60A8" w:rsidRDefault="009C60A8" w:rsidP="009C60A8">
            <w:r w:rsidRPr="009C60A8">
              <w:t>Les soumissionnaires restent engagés par leur offre pendant un délai de quatre-vingt-dix (90) jours à compter de la date limite fixée pour la remise des offres, délai au cours duquel l’Autorité Contractante avisera de son choix les entreprises retenues.</w:t>
            </w:r>
          </w:p>
          <w:p w:rsidR="009C60A8" w:rsidRPr="009C60A8" w:rsidRDefault="009C60A8" w:rsidP="009C60A8">
            <w:r w:rsidRPr="009C60A8">
              <w:t>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RGAO.</w:t>
            </w:r>
          </w:p>
          <w:p w:rsidR="009C60A8" w:rsidRPr="009C60A8" w:rsidRDefault="009C60A8" w:rsidP="009C60A8"/>
          <w:p w:rsidR="009C60A8" w:rsidRPr="009C60A8" w:rsidRDefault="009C60A8" w:rsidP="009C60A8"/>
        </w:tc>
        <w:tc>
          <w:tcPr>
            <w:tcW w:w="40" w:type="dxa"/>
            <w:shd w:val="clear" w:color="auto" w:fill="auto"/>
            <w:tcMar>
              <w:top w:w="0" w:type="dxa"/>
              <w:left w:w="10" w:type="dxa"/>
              <w:bottom w:w="0" w:type="dxa"/>
              <w:right w:w="10" w:type="dxa"/>
            </w:tcMar>
          </w:tcPr>
          <w:p w:rsidR="009C60A8" w:rsidRPr="009C60A8" w:rsidRDefault="009C60A8" w:rsidP="009C60A8"/>
        </w:tc>
      </w:tr>
      <w:tr w:rsidR="009C60A8" w:rsidRPr="009C60A8" w:rsidTr="000B73F4">
        <w:trPr>
          <w:trHeight w:hRule="exact" w:val="6958"/>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17.1.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Montant de la caution de soumission:</w:t>
            </w:r>
          </w:p>
          <w:p w:rsidR="009C60A8" w:rsidRPr="009C60A8" w:rsidRDefault="009C60A8" w:rsidP="009C60A8">
            <w:r w:rsidRPr="009C60A8">
              <w:t>En application de l'article 6 du RPAO, le Soumissionnaire fournira, une caution de soumission du montant spécifié dans l’Avis d’Appel d’Offres, laquelle fera partie intégrante de son offre.</w:t>
            </w:r>
          </w:p>
          <w:p w:rsidR="009C60A8" w:rsidRPr="009C60A8" w:rsidRDefault="009C60A8" w:rsidP="009C60A8">
            <w:r w:rsidRPr="009C60A8">
              <w:t>La caution de soumission sera conforme au modèle présenté dans le Dossier d’Appel d’Offres. La Caution de Soumission demeurera valide pendant trente (30) jours au-delà de la date initiale originelle de validité des offres, ou de toute nouvelle date limite de validité demandée par le Maître d’Ouvrage et acceptée par le Soumissionnaire, conformément aux dispositions de l’Article 16.2 du RPAO.</w:t>
            </w:r>
          </w:p>
          <w:p w:rsidR="009C60A8" w:rsidRPr="009C60A8" w:rsidRDefault="009C60A8" w:rsidP="009C60A8">
            <w:r w:rsidRPr="009C60A8">
              <w:t>Toute offre non accompagnée d’une Caution de Soumission acceptable sera rejetée par la Commission Ministérielle de Passation des Marchés compétente comme non conforme. La Caution de Soumission d’un groupement d’entreprises doit être établie au nom d’un membre du groupement soumettant l’offre.</w:t>
            </w:r>
          </w:p>
          <w:p w:rsidR="009C60A8" w:rsidRPr="009C60A8" w:rsidRDefault="009C60A8" w:rsidP="009C60A8">
            <w:r w:rsidRPr="009C60A8">
              <w:t>Les Cautions de Soumission et les offres des soumissionnaires non retenus seront restituées dans un délai de quinze (15) jours, après la publication du résultat de l’attribution, à l’exception de l’exemplaire destiné à l’organisme chargé de la régulation des marchés publics. Les offres non retirées dans ce délai sont détruites, sans qu’il y ait lieu à réclamation.</w:t>
            </w:r>
          </w:p>
          <w:p w:rsidR="009C60A8" w:rsidRPr="009C60A8" w:rsidRDefault="009C60A8" w:rsidP="009C60A8">
            <w:r w:rsidRPr="009C60A8">
              <w:t>La Caution de Soumission de l’attributaire du Marché sera libérée dès que ce dernier aura signé le marché et fourni le Cautionnement définitif requis.</w:t>
            </w:r>
          </w:p>
          <w:p w:rsidR="009C60A8" w:rsidRPr="009C60A8" w:rsidRDefault="009C60A8" w:rsidP="009C60A8">
            <w:r w:rsidRPr="009C60A8">
              <w:t>La Caution de Soumission peut être saisie :</w:t>
            </w:r>
          </w:p>
          <w:p w:rsidR="009C60A8" w:rsidRPr="009C60A8" w:rsidRDefault="009C60A8" w:rsidP="009C60A8">
            <w:r w:rsidRPr="009C60A8">
              <w:t>si le Soumissionnaire retire son offre durant la période de validité, excepté dans le cas mentionné à l’Article 24.2 du RGAO</w:t>
            </w:r>
          </w:p>
          <w:p w:rsidR="009C60A8" w:rsidRPr="009C60A8" w:rsidRDefault="009C60A8" w:rsidP="009C60A8">
            <w:r w:rsidRPr="009C60A8">
              <w:t xml:space="preserve">si, dans les délais prévus à l’article 37 du RGAO, l’attributaire du Marché ne parvient pas : </w:t>
            </w:r>
          </w:p>
          <w:p w:rsidR="009C60A8" w:rsidRPr="009C60A8" w:rsidRDefault="009C60A8" w:rsidP="009C60A8">
            <w:r w:rsidRPr="009C60A8">
              <w:t>à signer le marché, ou</w:t>
            </w:r>
          </w:p>
          <w:p w:rsidR="009C60A8" w:rsidRPr="009C60A8" w:rsidRDefault="009C60A8" w:rsidP="009C60A8">
            <w:r w:rsidRPr="009C60A8">
              <w:t>à fournir le Cautionnement définitif requis.</w:t>
            </w:r>
          </w:p>
        </w:tc>
        <w:tc>
          <w:tcPr>
            <w:tcW w:w="40" w:type="dxa"/>
            <w:shd w:val="clear" w:color="auto" w:fill="auto"/>
            <w:tcMar>
              <w:top w:w="0" w:type="dxa"/>
              <w:left w:w="10" w:type="dxa"/>
              <w:bottom w:w="0" w:type="dxa"/>
              <w:right w:w="10" w:type="dxa"/>
            </w:tcMar>
          </w:tcPr>
          <w:p w:rsidR="009C60A8" w:rsidRPr="009C60A8" w:rsidRDefault="009C60A8" w:rsidP="009C60A8"/>
        </w:tc>
      </w:tr>
      <w:tr w:rsidR="009C60A8" w:rsidRPr="009C60A8" w:rsidTr="000B73F4">
        <w:trPr>
          <w:gridAfter w:val="1"/>
          <w:wAfter w:w="40" w:type="dxa"/>
          <w:trHeight w:hRule="exact" w:val="2401"/>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20.1.</w:t>
            </w:r>
          </w:p>
        </w:tc>
        <w:tc>
          <w:tcPr>
            <w:tcW w:w="9639"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9C60A8" w:rsidRPr="009C60A8" w:rsidRDefault="009C60A8" w:rsidP="009C60A8">
            <w:r w:rsidRPr="009C60A8">
              <w:t>Nombre de copies de l’offre qui doivent être remplies et envoyées :</w:t>
            </w:r>
          </w:p>
          <w:p w:rsidR="009C60A8" w:rsidRPr="009C60A8" w:rsidRDefault="009C60A8" w:rsidP="009C60A8"/>
          <w:p w:rsidR="009C60A8" w:rsidRPr="009C60A8" w:rsidRDefault="009C60A8" w:rsidP="009C60A8">
            <w:r w:rsidRPr="009C60A8">
              <w:t>Le Soumissionnaire préparera un original des documents constitutifs de l’offre en un (01) exemplaire (pour chacun des trois volumes) portant clairement l’indication “ORIGINAL”. De plus, le Soumissionnaire soumettra six (06) copies (pour chacun des trois volumes) portant l’indication “COPIE”. En cas de divergence entre l’original et les copies, l’original fera foi.</w:t>
            </w:r>
          </w:p>
          <w:p w:rsidR="009C60A8" w:rsidRPr="009C60A8" w:rsidRDefault="009C60A8" w:rsidP="009C60A8">
            <w:r w:rsidRPr="009C60A8">
              <w:t>La présentation des offres devra tenir compte du principe de séparation des pièces administratives (volume 1) de l’offre technique (volume 2) et de l'offre financière (volume 3).</w:t>
            </w:r>
          </w:p>
          <w:p w:rsidR="009C60A8" w:rsidRPr="009C60A8" w:rsidRDefault="009C60A8" w:rsidP="009C60A8"/>
        </w:tc>
      </w:tr>
      <w:tr w:rsidR="009C60A8" w:rsidRPr="009C60A8" w:rsidTr="000B73F4">
        <w:trPr>
          <w:gridAfter w:val="1"/>
          <w:wAfter w:w="40" w:type="dxa"/>
          <w:trHeight w:hRule="exact" w:val="3548"/>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21.2.</w:t>
            </w:r>
          </w:p>
        </w:tc>
        <w:tc>
          <w:tcPr>
            <w:tcW w:w="963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r w:rsidRPr="009C60A8">
              <w:t>Adresse du Maître d’Ouvrage à utiliser pour l’envoi des offres :</w:t>
            </w:r>
          </w:p>
          <w:p w:rsidR="009C60A8" w:rsidRPr="009C60A8" w:rsidRDefault="009C60A8" w:rsidP="009C60A8">
            <w:r w:rsidRPr="009C60A8">
              <w:t>Les offres seront déposées contre récépissé sous plis fermés au Service des Appels d’Offres du Maitre d’Ouvrage.</w:t>
            </w:r>
          </w:p>
          <w:p w:rsidR="009C60A8" w:rsidRPr="009C60A8" w:rsidRDefault="009C60A8" w:rsidP="009C60A8">
            <w:r w:rsidRPr="009C60A8">
              <w:t>Les offres devront porter la mention :</w:t>
            </w:r>
          </w:p>
          <w:p w:rsidR="009C60A8" w:rsidRPr="009C60A8" w:rsidRDefault="009C60A8" w:rsidP="009C60A8">
            <w:r w:rsidRPr="009C60A8">
              <w:t xml:space="preserve">« APPEL D’OFFRES INTERNATIONAL  OUVERT </w:t>
            </w:r>
          </w:p>
          <w:p w:rsidR="009C60A8" w:rsidRPr="009C60A8" w:rsidRDefault="009C60A8" w:rsidP="009C60A8">
            <w:r w:rsidRPr="009C60A8">
              <w:t xml:space="preserve">N°_______________du ______ </w:t>
            </w:r>
          </w:p>
          <w:p w:rsidR="009C60A8" w:rsidRPr="009C60A8" w:rsidRDefault="009C60A8" w:rsidP="009C60A8">
            <w:r w:rsidRPr="009C60A8">
              <w:t>EN PROCÉDURE D’URGENCE POUR L’EXÉCUTION DES TRAVAUX ______________________</w:t>
            </w:r>
          </w:p>
          <w:p w:rsidR="009C60A8" w:rsidRPr="009C60A8" w:rsidRDefault="009C60A8" w:rsidP="009C60A8">
            <w:r w:rsidRPr="009C60A8">
              <w:t>Financement : Budget MINTP, Exercices ___________ et suivants.</w:t>
            </w:r>
          </w:p>
          <w:p w:rsidR="009C60A8" w:rsidRPr="009C60A8" w:rsidRDefault="009C60A8" w:rsidP="009C60A8">
            <w:r w:rsidRPr="009C60A8">
              <w:t>Imputation : Ligne Fonds Routier.</w:t>
            </w:r>
          </w:p>
          <w:p w:rsidR="009C60A8" w:rsidRPr="009C60A8" w:rsidRDefault="009C60A8" w:rsidP="009C60A8">
            <w:r w:rsidRPr="009C60A8">
              <w:t>À n’ouvrir qu’en séance de dépouillement »</w:t>
            </w:r>
          </w:p>
          <w:p w:rsidR="009C60A8" w:rsidRPr="009C60A8" w:rsidRDefault="009C60A8" w:rsidP="009C60A8"/>
        </w:tc>
      </w:tr>
      <w:tr w:rsidR="009C60A8" w:rsidRPr="009C60A8" w:rsidTr="000B73F4">
        <w:trPr>
          <w:gridAfter w:val="1"/>
          <w:wAfter w:w="40" w:type="dxa"/>
          <w:trHeight w:hRule="exact" w:val="856"/>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22.1.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Date et heure limites de dépôt des offres :</w:t>
            </w:r>
          </w:p>
          <w:p w:rsidR="009C60A8" w:rsidRPr="009C60A8" w:rsidRDefault="009C60A8" w:rsidP="009C60A8">
            <w:r w:rsidRPr="009C60A8">
              <w:t>Les offres seront déposées au plus tard le ____________________ à 11 heures.</w:t>
            </w:r>
          </w:p>
        </w:tc>
      </w:tr>
      <w:tr w:rsidR="009C60A8" w:rsidRPr="009C60A8" w:rsidTr="000B73F4">
        <w:trPr>
          <w:gridAfter w:val="1"/>
          <w:wAfter w:w="40" w:type="dxa"/>
          <w:trHeight w:hRule="exact" w:val="1984"/>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25.1</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Lieu, date et heure de l’ouverture des plis :</w:t>
            </w:r>
          </w:p>
          <w:p w:rsidR="009C60A8" w:rsidRPr="009C60A8" w:rsidRDefault="009C60A8" w:rsidP="009C60A8">
            <w:r w:rsidRPr="009C60A8">
              <w:t>L’ouverture des plis aura lieu le ________________ dès 12 heures au Siège du Maitre d’Ouvrage et en présence des soumissionnaires.</w:t>
            </w:r>
          </w:p>
          <w:p w:rsidR="009C60A8" w:rsidRPr="009C60A8" w:rsidRDefault="009C60A8" w:rsidP="009C60A8">
            <w:r w:rsidRPr="009C60A8">
              <w:t>Tous les soumissionnaires peuvent assister à cette séance d’ouverture ou s’y faire représenter par une seule personne dûment mandaté (même en cas de groupement) de leur choix ayant une parfaite connaissance du dossier.</w:t>
            </w:r>
          </w:p>
        </w:tc>
      </w:tr>
      <w:tr w:rsidR="009C60A8" w:rsidRPr="009C60A8" w:rsidTr="000B73F4">
        <w:trPr>
          <w:gridAfter w:val="1"/>
          <w:wAfter w:w="40" w:type="dxa"/>
          <w:trHeight w:hRule="exact" w:val="40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r w:rsidRPr="009C60A8">
              <w:t xml:space="preserve"> Evaluation et comparaison des offres</w:t>
            </w:r>
          </w:p>
        </w:tc>
      </w:tr>
      <w:tr w:rsidR="009C60A8" w:rsidRPr="009C60A8" w:rsidTr="000B73F4">
        <w:trPr>
          <w:gridAfter w:val="1"/>
          <w:wAfter w:w="40" w:type="dxa"/>
          <w:trHeight w:hRule="exact" w:val="856"/>
        </w:trPr>
        <w:tc>
          <w:tcPr>
            <w:tcW w:w="993"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31.2.</w:t>
            </w:r>
          </w:p>
        </w:tc>
        <w:tc>
          <w:tcPr>
            <w:tcW w:w="9639"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Monnaie retenue pour la conversion en une seule monnaie : Le franc CFA</w:t>
            </w:r>
          </w:p>
          <w:p w:rsidR="009C60A8" w:rsidRPr="009C60A8" w:rsidRDefault="009C60A8" w:rsidP="009C60A8">
            <w:r w:rsidRPr="009C60A8">
              <w:t>Source du taux de change : La Banque des Etats de l’Afrique Centrale (BEAC).</w:t>
            </w:r>
          </w:p>
          <w:p w:rsidR="009C60A8" w:rsidRPr="009C60A8" w:rsidRDefault="009C60A8" w:rsidP="009C60A8"/>
        </w:tc>
      </w:tr>
      <w:tr w:rsidR="009C60A8" w:rsidRPr="009C60A8" w:rsidTr="000B73F4">
        <w:trPr>
          <w:gridAfter w:val="1"/>
          <w:wAfter w:w="40" w:type="dxa"/>
          <w:trHeight w:hRule="exact" w:val="95"/>
        </w:trPr>
        <w:tc>
          <w:tcPr>
            <w:tcW w:w="993"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tc>
        <w:tc>
          <w:tcPr>
            <w:tcW w:w="9639"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tc>
      </w:tr>
      <w:tr w:rsidR="009C60A8" w:rsidRPr="009C60A8" w:rsidTr="000B73F4">
        <w:trPr>
          <w:gridAfter w:val="1"/>
          <w:wAfter w:w="40" w:type="dxa"/>
          <w:trHeight w:hRule="exact" w:val="5738"/>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32.2 (g).</w:t>
            </w:r>
          </w:p>
        </w:tc>
        <w:tc>
          <w:tcPr>
            <w:tcW w:w="9639"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Avant d’effectuer l’évaluation détaillée des offres, la Commission Ministérielle de passation des Marchés vérifiera que chaque offre est conforme pour l’essentiel aux conditions fixées dans le Dossier d’Appel d’offres.</w:t>
            </w:r>
          </w:p>
          <w:p w:rsidR="009C60A8" w:rsidRPr="009C60A8" w:rsidRDefault="009C60A8" w:rsidP="009C60A8">
            <w:r w:rsidRPr="009C60A8">
              <w:t>Une offre conforme pour l’essentiel au Dossier d’Appel d’Offres est une offre qui respecte tous les termes, conditions, et spécifications du Dossier d’Appel d’Offres, sans divergence ni réserve importante.  Une divergence ou réserve importante est celle qui :</w:t>
            </w:r>
          </w:p>
          <w:p w:rsidR="009C60A8" w:rsidRPr="009C60A8" w:rsidRDefault="009C60A8" w:rsidP="009C60A8">
            <w:r w:rsidRPr="009C60A8">
              <w:t xml:space="preserve">affecte sensiblement l’étendue, la qualité ou la réalisation des Travaux; </w:t>
            </w:r>
          </w:p>
          <w:p w:rsidR="009C60A8" w:rsidRPr="009C60A8" w:rsidRDefault="009C60A8" w:rsidP="009C60A8">
            <w:r w:rsidRPr="009C60A8">
              <w:t xml:space="preserve">limite sensiblement, en contradiction avec le Dossier d’Appel d’Offres, les droits du Maître d’Ouvrage ou les obligations de l’Administration au titre du Marché; ou </w:t>
            </w:r>
          </w:p>
          <w:p w:rsidR="009C60A8" w:rsidRPr="009C60A8" w:rsidRDefault="009C60A8" w:rsidP="009C60A8">
            <w:r w:rsidRPr="009C60A8">
              <w:t xml:space="preserve">est telle que sa correction affecterait injustement la compétitivité des autres soumissionnaires qui ont présenté des offres conformes pour l’essentiel au Dossier d’Appel d’Offres. </w:t>
            </w:r>
          </w:p>
          <w:p w:rsidR="009C60A8" w:rsidRPr="009C60A8" w:rsidRDefault="009C60A8" w:rsidP="009C60A8">
            <w:r w:rsidRPr="009C60A8">
              <w:t>La Commission des Marchés déterminera si l’offre est conforme pour l’essentiel aux dispositions du Dossier d’Appel d’offres en se basant sur son contenu sans avoir recours à des éléments de preuve intrinsèques.</w:t>
            </w:r>
          </w:p>
          <w:p w:rsidR="009C60A8" w:rsidRPr="009C60A8" w:rsidRDefault="009C60A8" w:rsidP="009C60A8">
            <w:r w:rsidRPr="009C60A8">
              <w:t>Si une soumission n’est pas conforme pour l’essentiel, elle sera rejetée par la Commission Ministérielle des Marchés et ne pourra être par la suite rendue conforme.</w:t>
            </w:r>
          </w:p>
          <w:p w:rsidR="009C60A8" w:rsidRPr="009C60A8" w:rsidRDefault="009C60A8" w:rsidP="009C60A8">
            <w:r w:rsidRPr="009C60A8">
              <w:t>A l’issue de l’ouverture des plis en un temps, les copies des offres reçues et paraphées sont confiées à une sous-commission d’analyse pour évaluation détaillée des offres suivant les trois étapes ci-après :</w:t>
            </w:r>
          </w:p>
          <w:p w:rsidR="009C60A8" w:rsidRPr="009C60A8" w:rsidRDefault="009C60A8" w:rsidP="009C60A8"/>
          <w:p w:rsidR="009C60A8" w:rsidRPr="009C60A8" w:rsidRDefault="009C60A8" w:rsidP="009C60A8"/>
        </w:tc>
      </w:tr>
      <w:tr w:rsidR="009C60A8" w:rsidRPr="009C60A8" w:rsidTr="000B73F4">
        <w:trPr>
          <w:gridAfter w:val="1"/>
          <w:wAfter w:w="40" w:type="dxa"/>
          <w:trHeight w:hRule="exact" w:val="5549"/>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tc>
        <w:tc>
          <w:tcPr>
            <w:tcW w:w="9639"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9C60A8" w:rsidRPr="009C60A8" w:rsidRDefault="009C60A8" w:rsidP="009C60A8">
            <w:r w:rsidRPr="009C60A8">
              <w:t>1ère étape: Examen de la conformité  des pièces administratives (Volume 1)</w:t>
            </w:r>
          </w:p>
          <w:p w:rsidR="009C60A8" w:rsidRPr="009C60A8" w:rsidRDefault="009C60A8" w:rsidP="009C60A8">
            <w:r w:rsidRPr="009C60A8">
              <w:t>Sous peine d’élimination, le Dossier Administratif doit être complet et contenir toutes les pièces authentiques et conformes énumérées à l’Article 13 du présent RPAO.</w:t>
            </w:r>
          </w:p>
          <w:p w:rsidR="009C60A8" w:rsidRPr="009C60A8" w:rsidRDefault="009C60A8" w:rsidP="009C60A8">
            <w:r w:rsidRPr="009C60A8">
              <w:t>Toutes les pièces requises doivent être datées de moins de trois (03) mois à la date limite de remise des offres et être conformes aux modèles.</w:t>
            </w:r>
          </w:p>
          <w:p w:rsidR="009C60A8" w:rsidRPr="009C60A8" w:rsidRDefault="009C60A8" w:rsidP="009C60A8">
            <w:r w:rsidRPr="009C60A8">
              <w:t>Toute fausse déclaration ou présentation de pièce falsifiée sont des motifs de rejet de l’offre avec préjudice des poursuites pénales éventuelles.</w:t>
            </w:r>
          </w:p>
          <w:p w:rsidR="009C60A8" w:rsidRPr="009C60A8" w:rsidRDefault="009C60A8" w:rsidP="009C60A8">
            <w:r w:rsidRPr="009C60A8">
              <w:t>Seules les offres présentant un dossier administratif conforme seront évaluées techniquement.</w:t>
            </w:r>
          </w:p>
          <w:p w:rsidR="009C60A8" w:rsidRPr="009C60A8" w:rsidRDefault="009C60A8" w:rsidP="009C60A8">
            <w:r w:rsidRPr="009C60A8">
              <w:t>2ème étape : Evaluation de l’offre technique (Volume 2).</w:t>
            </w:r>
          </w:p>
          <w:p w:rsidR="009C60A8" w:rsidRPr="009C60A8" w:rsidRDefault="009C60A8" w:rsidP="009C60A8">
            <w:r w:rsidRPr="009C60A8">
              <w:t>Chaque offre pour être déclarée conforme techniquement doit avoir satisfait à tous les critères éliminatoires et obtenu 16 sous-critères sur 23 évalués conformément à l’article 6.1 du RPAO.</w:t>
            </w:r>
          </w:p>
          <w:p w:rsidR="009C60A8" w:rsidRPr="009C60A8" w:rsidRDefault="009C60A8" w:rsidP="009C60A8">
            <w:r w:rsidRPr="009C60A8">
              <w:t>3ème étape : Evaluation de l’offre financière (Volume 3).</w:t>
            </w:r>
          </w:p>
          <w:p w:rsidR="009C60A8" w:rsidRPr="009C60A8" w:rsidRDefault="009C60A8" w:rsidP="009C60A8">
            <w:r w:rsidRPr="009C60A8">
              <w:t>Seules les offres des soumissionnaires ayant été retenus à l’issue de l’évaluation des offres techniques seront évaluées financièrement.</w:t>
            </w:r>
          </w:p>
          <w:p w:rsidR="009C60A8" w:rsidRPr="009C60A8" w:rsidRDefault="009C60A8" w:rsidP="009C60A8">
            <w:r w:rsidRPr="009C60A8">
              <w:t xml:space="preserve">En évaluant les offres, il est déterminé pour chaque offre le « montant évalué » de l’offre en rectifiant son montant proposé comme suit : </w:t>
            </w:r>
          </w:p>
          <w:p w:rsidR="009C60A8" w:rsidRPr="009C60A8" w:rsidRDefault="009C60A8" w:rsidP="009C60A8">
            <w:r w:rsidRPr="009C60A8">
              <w:t>Le montant figurant dans la soumission est corrigé conformément à la procédure détaillée à l’article 30 du RGAO concernant la correction des erreurs ;</w:t>
            </w:r>
          </w:p>
          <w:p w:rsidR="009C60A8" w:rsidRPr="009C60A8" w:rsidRDefault="009C60A8" w:rsidP="009C60A8">
            <w:r w:rsidRPr="009C60A8">
              <w:t>Les prix proposés pour les postes où il n'est pas prévu des quantités ne feront pas partie du contrat.</w:t>
            </w:r>
          </w:p>
        </w:tc>
      </w:tr>
      <w:tr w:rsidR="009C60A8" w:rsidRPr="009C60A8" w:rsidTr="000B73F4">
        <w:trPr>
          <w:gridAfter w:val="1"/>
          <w:wAfter w:w="40" w:type="dxa"/>
          <w:trHeight w:hRule="exact" w:val="283"/>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p w:rsidR="009C60A8" w:rsidRPr="009C60A8" w:rsidRDefault="009C60A8" w:rsidP="009C60A8"/>
        </w:tc>
        <w:tc>
          <w:tcPr>
            <w:tcW w:w="9639"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r w:rsidRPr="009C60A8">
              <w:t>Attribution du marché</w:t>
            </w:r>
          </w:p>
        </w:tc>
      </w:tr>
      <w:tr w:rsidR="009C60A8" w:rsidRPr="009C60A8" w:rsidTr="000B73F4">
        <w:trPr>
          <w:gridAfter w:val="1"/>
          <w:wAfter w:w="40" w:type="dxa"/>
          <w:trHeight w:hRule="exact" w:val="2129"/>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34.1 et 34.2</w:t>
            </w:r>
          </w:p>
        </w:tc>
        <w:tc>
          <w:tcPr>
            <w:tcW w:w="9639"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r w:rsidRPr="009C60A8">
              <w:t>Le marché sera attribué au soumissionnaire présentant l’offre évaluée la moins disante et remplissant les critères administratifs, techniques et financiers requis.</w:t>
            </w:r>
          </w:p>
          <w:p w:rsidR="009C60A8" w:rsidRPr="009C60A8" w:rsidRDefault="009C60A8" w:rsidP="009C60A8">
            <w:r w:rsidRPr="009C60A8">
              <w:t>Il ne peut être attribué au maximum que deux (02) lots à un soumissionnaire au titre de cet Appel d’Offres.</w:t>
            </w:r>
          </w:p>
          <w:p w:rsidR="009C60A8" w:rsidRPr="009C60A8" w:rsidRDefault="009C60A8" w:rsidP="009C60A8">
            <w:r w:rsidRPr="009C60A8">
              <w:t>Pour être attributaire de deux lots, le soumissionnaire doit avoir fourni dans son offre, deux équipes de personnel et deux bactéries de matériel.</w:t>
            </w:r>
          </w:p>
        </w:tc>
      </w:tr>
      <w:tr w:rsidR="009C60A8" w:rsidRPr="009C60A8" w:rsidTr="000B73F4">
        <w:trPr>
          <w:gridAfter w:val="1"/>
          <w:wAfter w:w="40" w:type="dxa"/>
          <w:trHeight w:hRule="exact" w:val="28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r w:rsidRPr="009C60A8">
              <w:t>Cautionnement définitif</w:t>
            </w:r>
          </w:p>
        </w:tc>
      </w:tr>
      <w:tr w:rsidR="009C60A8" w:rsidRPr="009C60A8" w:rsidTr="000B73F4">
        <w:trPr>
          <w:gridAfter w:val="1"/>
          <w:wAfter w:w="40" w:type="dxa"/>
          <w:trHeight w:hRule="exact" w:val="3008"/>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39.1 et</w:t>
            </w:r>
          </w:p>
          <w:p w:rsidR="009C60A8" w:rsidRPr="009C60A8" w:rsidRDefault="009C60A8" w:rsidP="009C60A8">
            <w:r w:rsidRPr="009C60A8">
              <w:t>39.2</w:t>
            </w:r>
          </w:p>
        </w:tc>
        <w:tc>
          <w:tcPr>
            <w:tcW w:w="963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9C60A8" w:rsidRPr="009C60A8" w:rsidRDefault="009C60A8" w:rsidP="009C60A8"/>
          <w:p w:rsidR="009C60A8" w:rsidRPr="009C60A8" w:rsidRDefault="009C60A8" w:rsidP="009C60A8">
            <w:r w:rsidRPr="009C60A8">
              <w:t>Le cautionnement définitif garantira l’exécution intégrale des travaux et sera constitué suivant le modèle annexé au présent DAO, dans un délai de vingt (20) jours à compter de la date de notification du marché. Le cautionnement provisoire de soumission est restitué dès constitution de ce cautionnement définitif.</w:t>
            </w:r>
          </w:p>
          <w:p w:rsidR="009C60A8" w:rsidRPr="009C60A8" w:rsidRDefault="009C60A8" w:rsidP="009C60A8">
            <w:r w:rsidRPr="009C60A8">
              <w:t>Son montant est fixé à cinq pour cent (5%) du montant toutes taxes comprises du marché.</w:t>
            </w:r>
          </w:p>
          <w:p w:rsidR="009C60A8" w:rsidRPr="009C60A8" w:rsidRDefault="009C60A8" w:rsidP="009C60A8">
            <w:r w:rsidRPr="009C60A8">
              <w:t>Le cautionnement définitif peut être remplacé par une caution personnelle et solidaire d’un établissement bancaire de premier ordre installé sur le territoire camerounais et agréé par le Ministre en charge des Finances.</w:t>
            </w:r>
          </w:p>
          <w:p w:rsidR="009C60A8" w:rsidRPr="009C60A8" w:rsidRDefault="009C60A8" w:rsidP="009C60A8">
            <w:r w:rsidRPr="009C60A8">
              <w:t>A la fin des travaux, le cautionnement définitif sera restitué, ou la caution bancaire le remplaçant liberée, sur demande écrite du Cocontractant.</w:t>
            </w:r>
          </w:p>
        </w:tc>
      </w:tr>
    </w:tbl>
    <w:p w:rsidR="009C60A8" w:rsidRPr="009C60A8" w:rsidRDefault="009C60A8" w:rsidP="009C60A8">
      <w:pPr>
        <w:sectPr w:rsidR="009C60A8" w:rsidRPr="009C60A8" w:rsidSect="00C6710C">
          <w:pgSz w:w="11906" w:h="16838"/>
          <w:pgMar w:top="851" w:right="851" w:bottom="1134" w:left="1134" w:header="709" w:footer="709" w:gutter="0"/>
          <w:cols w:space="708"/>
          <w:docGrid w:linePitch="360"/>
        </w:sectPr>
      </w:pPr>
    </w:p>
    <w:p w:rsidR="003C5AE3" w:rsidRDefault="003C5AE3">
      <w:bookmarkStart w:id="0" w:name="_GoBack"/>
      <w:bookmarkEnd w:id="0"/>
    </w:p>
    <w:sectPr w:rsidR="003C5AE3">
      <w:footerReference w:type="default" r:id="rI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DB5" w:rsidRPr="009C60A8" w:rsidRDefault="009C60A8" w:rsidP="009C60A8">
    <w:r w:rsidRPr="009C60A8">
      <w:rPr>
        <w:noProof/>
        <w:lang w:eastAsia="fr-FR"/>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-55880</wp:posOffset>
              </wp:positionV>
              <wp:extent cx="5909945" cy="0"/>
              <wp:effectExtent l="19050" t="20320" r="14605" b="17780"/>
              <wp:wrapNone/>
              <wp:docPr id="2"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994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5FE2F2" id="_x0000_t32" coordsize="21600,21600" o:spt="32" o:oned="t" path="m,l21600,21600e" filled="f">
              <v:path arrowok="t" fillok="f" o:connecttype="none"/>
              <o:lock v:ext="edit" shapetype="t"/>
            </v:shapetype>
            <v:shape id="Connecteur droit avec flèche 2" o:spid="_x0000_s1026" type="#_x0000_t32" style="position:absolute;margin-left:-3.75pt;margin-top:-4.4pt;width:465.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" strokeweight="2.25pt"/>
          </w:pict>
        </mc:Fallback>
      </mc:AlternateContent>
    </w:r>
    <w:r w:rsidRPr="009C60A8">
      <w:t>Règlem</w:t>
    </w:r>
    <w:r w:rsidRPr="009C60A8">
      <w:t>ent Particulier</w:t>
    </w:r>
    <w:r w:rsidRPr="009C60A8">
      <w:t xml:space="preserve"> de l’Appel d’Offres</w:t>
    </w:r>
    <w:r w:rsidRPr="009C60A8">
      <w:tab/>
    </w:r>
    <w:r w:rsidRPr="009C60A8">
      <w:tab/>
    </w:r>
    <w:r w:rsidRPr="009C60A8">
      <w:fldChar w:fldCharType="begin"/>
    </w:r>
    <w:r w:rsidRPr="009C60A8">
      <w:instrText xml:space="preserve"> PAGE   \* MERGEFORMAT </w:instrText>
    </w:r>
    <w:r w:rsidRPr="009C60A8">
      <w:fldChar w:fldCharType="separate"/>
    </w:r>
    <w:r>
      <w:rPr>
        <w:noProof/>
      </w:rPr>
      <w:t>15</w:t>
    </w:r>
    <w:r w:rsidRPr="009C60A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DB5" w:rsidRPr="009C60A8" w:rsidRDefault="009C60A8" w:rsidP="009C60A8">
    <w:r w:rsidRPr="009C60A8">
      <w:rPr>
        <w:noProof/>
        <w:lang w:eastAsia="fr-FR"/>
      </w:rPr>
      <mc:AlternateContent>
        <mc:Choice Requires="wps">
          <w:drawing>
            <wp:anchor distT="0" distB="0" distL="114300" distR="114300" simplePos="0" relativeHeight="251660288" behindDoc="0" locked="0" layoutInCell="1" allowOverlap="1">
              <wp:simplePos x="0" y="0"/>
              <wp:positionH relativeFrom="column">
                <wp:posOffset>-47625</wp:posOffset>
              </wp:positionH>
              <wp:positionV relativeFrom="paragraph">
                <wp:posOffset>-55880</wp:posOffset>
              </wp:positionV>
              <wp:extent cx="5909945" cy="0"/>
              <wp:effectExtent l="19050" t="20320" r="14605" b="1778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994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89ABA2" id="_x0000_t32" coordsize="21600,21600" o:spt="32" o:oned="t" path="m,l21600,21600e" filled="f">
              <v:path arrowok="t" fillok="f" o:connecttype="none"/>
              <o:lock v:ext="edit" shapetype="t"/>
            </v:shapetype>
            <v:shape id="Connecteur droit avec flèche 1" o:spid="_x0000_s1026" type="#_x0000_t32" style="position:absolute;margin-left:-3.75pt;margin-top:-4.4pt;width:465.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" strokeweight="2.25pt"/>
          </w:pict>
        </mc:Fallback>
      </mc:AlternateContent>
    </w:r>
    <w:r w:rsidRPr="009C60A8">
      <w:t>Cahier des Clauses Administratives Particulières (CCAP)</w:t>
    </w:r>
    <w:r w:rsidRPr="009C60A8">
      <w:tab/>
    </w:r>
    <w:r w:rsidRPr="009C60A8">
      <w:fldChar w:fldCharType="begin"/>
    </w:r>
    <w:r w:rsidRPr="009C60A8">
      <w:instrText xml:space="preserve"> PAGE   \* MERGEFORMAT </w:instrText>
    </w:r>
    <w:r w:rsidRPr="009C60A8">
      <w:fldChar w:fldCharType="separate"/>
    </w:r>
    <w:r>
      <w:rPr>
        <w:noProof/>
      </w:rPr>
      <w:t>16</w:t>
    </w:r>
    <w:r w:rsidRPr="009C60A8">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hyphenationZone w:val="425"/>
  <w:characterSpacingControl w:val="doNotCompress"/>
  <w:hdrShapeDefaults>
    <o:shapedefaults v:ext="edit" spidmax="2049"/>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0A8"/>
    <w:rsid w:val="003C5AE3"/>
    <w:rsid w:val="009C60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D559F4-B476-4AE8-A452-D55C99F4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4721</Words>
  <Characters>25968</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ES02</dc:creator>
  <cp:keywords/>
  <dc:description/>
  <cp:lastModifiedBy>ES02</cp:lastModifiedBy>
  <cp:revision>1</cp:revision>
  <dcterms:created xsi:type="dcterms:W3CDTF">2020-11-10T11:42:00Z</dcterms:created>
  <dcterms:modified xsi:type="dcterms:W3CDTF">2020-11-10T11:43:00Z</dcterms:modified>
</cp:coreProperties>
</file>